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A1BC" w14:textId="4DDFCB27" w:rsidR="009146E3" w:rsidRPr="00370682" w:rsidRDefault="00C30542" w:rsidP="00B316B4">
      <w:pPr>
        <w:pStyle w:val="Title"/>
        <w:jc w:val="both"/>
        <w:rPr>
          <w:rFonts w:ascii="Cambria" w:eastAsia="Times New Roman" w:hAnsi="Cambria" w:cs="Calibri"/>
          <w:b/>
          <w:bCs/>
          <w:iCs/>
          <w:color w:val="00B050"/>
          <w:sz w:val="28"/>
          <w:szCs w:val="18"/>
          <w:lang w:val="en-ID"/>
        </w:rPr>
      </w:pPr>
      <w:r w:rsidRPr="00370682">
        <w:rPr>
          <w:rFonts w:ascii="Cambria" w:eastAsia="Times New Roman" w:hAnsi="Cambria" w:cs="Calibri"/>
          <w:b/>
          <w:bCs/>
          <w:iCs/>
          <w:color w:val="00B050"/>
          <w:sz w:val="28"/>
          <w:szCs w:val="18"/>
          <w:lang w:val="en-ID"/>
        </w:rPr>
        <w:t>A</w:t>
      </w:r>
      <w:r w:rsidR="00B316B4" w:rsidRPr="00370682">
        <w:rPr>
          <w:rFonts w:ascii="Cambria" w:eastAsia="Times New Roman" w:hAnsi="Cambria" w:cs="Calibri"/>
          <w:b/>
          <w:bCs/>
          <w:iCs/>
          <w:color w:val="00B050"/>
          <w:sz w:val="28"/>
          <w:szCs w:val="18"/>
          <w:lang w:val="en-ID"/>
        </w:rPr>
        <w:t>nalyze the Merdeka Curriculum Policy in Relation to the Implementation of Student – Centered Learning (SCL) as a Means of Improving the Quality of Islamic Education</w:t>
      </w:r>
    </w:p>
    <w:p w14:paraId="47DB8130" w14:textId="77777777" w:rsidR="009146E3" w:rsidRPr="00370682" w:rsidRDefault="009146E3">
      <w:pPr>
        <w:jc w:val="center"/>
        <w:rPr>
          <w:rFonts w:ascii="Cambria" w:hAnsi="Cambria" w:cs="Calibri"/>
          <w:b/>
          <w:bCs/>
          <w:lang w:val="zh-CN"/>
        </w:rPr>
      </w:pPr>
    </w:p>
    <w:p w14:paraId="0E1A7035" w14:textId="7A170628" w:rsidR="00C30542" w:rsidRPr="00370682" w:rsidRDefault="00C30542" w:rsidP="00C30542">
      <w:pPr>
        <w:pStyle w:val="Author"/>
        <w:rPr>
          <w:rFonts w:ascii="Cambria" w:hAnsi="Cambria" w:cs="Calibri"/>
          <w:sz w:val="20"/>
          <w:vertAlign w:val="baseline"/>
          <w:lang w:val="en-ID" w:eastAsia="zh-CN"/>
        </w:rPr>
      </w:pPr>
      <w:r w:rsidRPr="00370682">
        <w:rPr>
          <w:rFonts w:ascii="Cambria" w:hAnsi="Cambria" w:cs="Calibri"/>
          <w:sz w:val="20"/>
          <w:vertAlign w:val="baseline"/>
          <w:lang w:val="en-ID" w:eastAsia="zh-CN"/>
        </w:rPr>
        <w:t>Sukron Jamil</w:t>
      </w:r>
      <w:r w:rsidR="00F5275A" w:rsidRPr="00370682">
        <w:rPr>
          <w:rFonts w:ascii="Cambria" w:hAnsi="Cambria" w:cs="Calibri"/>
          <w:sz w:val="20"/>
          <w:vertAlign w:val="baseline"/>
          <w:lang w:val="en-ID" w:eastAsia="zh-CN"/>
        </w:rPr>
        <w:t xml:space="preserve"> </w:t>
      </w:r>
      <w:r w:rsidR="00F5275A" w:rsidRPr="00370682">
        <w:rPr>
          <w:rFonts w:ascii="Cambria" w:hAnsi="Cambria" w:cs="Calibri"/>
          <w:sz w:val="20"/>
          <w:lang w:val="en-ID" w:eastAsia="zh-CN"/>
        </w:rPr>
        <w:t>a,1,*</w:t>
      </w:r>
      <w:r w:rsidR="00D47F33" w:rsidRPr="00370682">
        <w:rPr>
          <w:rFonts w:ascii="Cambria" w:hAnsi="Cambria" w:cs="Calibri"/>
          <w:sz w:val="20"/>
          <w:lang w:val="en-ID" w:eastAsia="zh-CN"/>
        </w:rPr>
        <w:t xml:space="preserve"> </w:t>
      </w:r>
      <w:r w:rsidR="00D47F33" w:rsidRPr="00370682">
        <w:rPr>
          <w:rFonts w:ascii="Cambria" w:hAnsi="Cambria" w:cs="Calibri"/>
          <w:sz w:val="20"/>
          <w:vertAlign w:val="baseline"/>
          <w:lang w:val="en-ID" w:eastAsia="zh-CN"/>
        </w:rPr>
        <w:t xml:space="preserve">, Helmiati </w:t>
      </w:r>
      <w:r w:rsidR="00D47F33" w:rsidRPr="00370682">
        <w:rPr>
          <w:rFonts w:ascii="Cambria" w:hAnsi="Cambria" w:cs="Calibri"/>
          <w:sz w:val="20"/>
          <w:lang w:val="en-ID" w:eastAsia="zh-CN"/>
        </w:rPr>
        <w:t xml:space="preserve">a,2 </w:t>
      </w:r>
      <w:r w:rsidR="00D47F33" w:rsidRPr="00370682">
        <w:rPr>
          <w:rFonts w:ascii="Cambria" w:hAnsi="Cambria" w:cs="Calibri"/>
          <w:sz w:val="20"/>
          <w:vertAlign w:val="baseline"/>
          <w:lang w:val="en-ID" w:eastAsia="zh-CN"/>
        </w:rPr>
        <w:t xml:space="preserve">, Hariza Hasyim </w:t>
      </w:r>
      <w:r w:rsidR="00D47F33" w:rsidRPr="00370682">
        <w:rPr>
          <w:rFonts w:ascii="Cambria" w:hAnsi="Cambria" w:cs="Calibri"/>
          <w:sz w:val="20"/>
          <w:lang w:val="en-ID" w:eastAsia="zh-CN"/>
        </w:rPr>
        <w:t>a,3</w:t>
      </w:r>
      <w:r w:rsidR="00D47F33" w:rsidRPr="00370682">
        <w:rPr>
          <w:rFonts w:ascii="Cambria" w:hAnsi="Cambria" w:cs="Calibri"/>
          <w:sz w:val="20"/>
          <w:vertAlign w:val="baseline"/>
          <w:lang w:val="en-ID" w:eastAsia="zh-CN"/>
        </w:rPr>
        <w:t>,</w:t>
      </w:r>
    </w:p>
    <w:p w14:paraId="433BD9CD" w14:textId="77777777" w:rsidR="00D47F33" w:rsidRPr="00370682" w:rsidRDefault="00D47F33" w:rsidP="00D47F33">
      <w:pPr>
        <w:pStyle w:val="Author"/>
        <w:spacing w:after="0"/>
        <w:rPr>
          <w:rFonts w:ascii="Cambria" w:hAnsi="Cambria" w:cs="Calibri"/>
          <w:b w:val="0"/>
          <w:bCs w:val="0"/>
          <w:sz w:val="18"/>
          <w:vertAlign w:val="baseline"/>
          <w:lang w:val="sv-SE" w:eastAsia="zh-CN"/>
        </w:rPr>
      </w:pPr>
      <w:r w:rsidRPr="00370682">
        <w:rPr>
          <w:rFonts w:ascii="Cambria" w:hAnsi="Cambria" w:cs="Calibri"/>
          <w:b w:val="0"/>
          <w:bCs w:val="0"/>
          <w:sz w:val="18"/>
          <w:lang w:val="id-ID" w:eastAsia="zh-CN"/>
        </w:rPr>
        <w:t>a</w:t>
      </w:r>
      <w:r w:rsidR="00C30542" w:rsidRPr="00370682">
        <w:rPr>
          <w:rFonts w:ascii="Cambria" w:hAnsi="Cambria" w:cs="Calibri"/>
          <w:b w:val="0"/>
          <w:bCs w:val="0"/>
          <w:sz w:val="18"/>
          <w:vertAlign w:val="baseline"/>
          <w:lang w:val="sv-SE" w:eastAsia="zh-CN"/>
        </w:rPr>
        <w:t>Universitas Islam Negeri Sultan Syarif Kasim Riau</w:t>
      </w:r>
    </w:p>
    <w:p w14:paraId="29895A93" w14:textId="01E181C3" w:rsidR="00C30542" w:rsidRPr="00370682" w:rsidRDefault="00D47F33" w:rsidP="00D47F33">
      <w:pPr>
        <w:pStyle w:val="Author"/>
        <w:spacing w:after="0"/>
        <w:rPr>
          <w:rFonts w:ascii="Cambria" w:hAnsi="Cambria" w:cs="Calibri"/>
          <w:b w:val="0"/>
          <w:bCs w:val="0"/>
          <w:sz w:val="18"/>
          <w:vertAlign w:val="baseline"/>
          <w:lang w:val="sv-SE" w:eastAsia="zh-CN"/>
        </w:rPr>
      </w:pPr>
      <w:r w:rsidRPr="00370682">
        <w:rPr>
          <w:rFonts w:ascii="Cambria" w:hAnsi="Cambria" w:cs="Calibri"/>
          <w:iCs/>
          <w:sz w:val="18"/>
          <w:lang w:val="id-ID" w:eastAsia="zh-CN"/>
        </w:rPr>
        <w:t>1</w:t>
      </w:r>
      <w:r w:rsidR="00C30542" w:rsidRPr="00370682">
        <w:rPr>
          <w:rFonts w:ascii="Cambria" w:hAnsi="Cambria" w:cs="Calibri"/>
          <w:b w:val="0"/>
          <w:bCs w:val="0"/>
          <w:i/>
          <w:sz w:val="18"/>
          <w:vertAlign w:val="baseline"/>
          <w:lang w:val="sv-SE" w:eastAsia="zh-CN"/>
        </w:rPr>
        <w:t xml:space="preserve"> </w:t>
      </w:r>
      <w:hyperlink r:id="rId9" w:history="1">
        <w:r w:rsidR="00C30542" w:rsidRPr="00370682">
          <w:rPr>
            <w:rStyle w:val="Hyperlink"/>
            <w:rFonts w:ascii="Cambria" w:hAnsi="Cambria" w:cs="Calibri"/>
            <w:b w:val="0"/>
            <w:bCs w:val="0"/>
            <w:sz w:val="18"/>
            <w:vertAlign w:val="baseline"/>
            <w:lang w:val="sv-SE" w:eastAsia="zh-CN"/>
          </w:rPr>
          <w:t>22490114364@students.uin-suska.ac.id</w:t>
        </w:r>
      </w:hyperlink>
      <w:r w:rsidRPr="00370682">
        <w:rPr>
          <w:rFonts w:ascii="Cambria" w:hAnsi="Cambria"/>
          <w:b w:val="0"/>
          <w:bCs w:val="0"/>
          <w:vertAlign w:val="baseline"/>
          <w:lang w:val="sv-SE"/>
        </w:rPr>
        <w:t xml:space="preserve">; </w:t>
      </w:r>
      <w:r w:rsidRPr="00370682">
        <w:rPr>
          <w:rFonts w:ascii="Cambria" w:hAnsi="Cambria"/>
          <w:b w:val="0"/>
          <w:bCs w:val="0"/>
          <w:lang w:val="sv-SE"/>
        </w:rPr>
        <w:t xml:space="preserve">2 </w:t>
      </w:r>
      <w:hyperlink r:id="rId10" w:history="1">
        <w:r w:rsidRPr="00370682">
          <w:rPr>
            <w:rStyle w:val="Hyperlink"/>
            <w:rFonts w:ascii="Cambria" w:hAnsi="Cambria" w:cs="Calibri"/>
            <w:b w:val="0"/>
            <w:bCs w:val="0"/>
            <w:sz w:val="18"/>
            <w:vertAlign w:val="baseline"/>
            <w:lang w:val="sv-SE" w:eastAsia="zh-CN"/>
          </w:rPr>
          <w:t>helmiati@uin-suska.ac.id</w:t>
        </w:r>
      </w:hyperlink>
      <w:r w:rsidRPr="00370682">
        <w:rPr>
          <w:rFonts w:ascii="Cambria" w:hAnsi="Cambria" w:cs="Calibri"/>
          <w:b w:val="0"/>
          <w:bCs w:val="0"/>
          <w:sz w:val="18"/>
          <w:vertAlign w:val="baseline"/>
          <w:lang w:val="sv-SE" w:eastAsia="zh-CN"/>
        </w:rPr>
        <w:t xml:space="preserve">; </w:t>
      </w:r>
      <w:r w:rsidRPr="00370682">
        <w:rPr>
          <w:rFonts w:ascii="Cambria" w:hAnsi="Cambria" w:cs="Calibri"/>
          <w:b w:val="0"/>
          <w:bCs w:val="0"/>
          <w:sz w:val="18"/>
          <w:lang w:val="sv-SE" w:eastAsia="zh-CN"/>
        </w:rPr>
        <w:t xml:space="preserve">3 </w:t>
      </w:r>
      <w:hyperlink r:id="rId11" w:history="1">
        <w:r w:rsidRPr="00370682">
          <w:rPr>
            <w:rStyle w:val="Hyperlink"/>
            <w:rFonts w:ascii="Cambria" w:hAnsi="Cambria" w:cs="Calibri"/>
            <w:b w:val="0"/>
            <w:bCs w:val="0"/>
            <w:sz w:val="18"/>
            <w:vertAlign w:val="baseline"/>
            <w:lang w:val="sv-SE" w:eastAsia="zh-CN"/>
          </w:rPr>
          <w:t>hariza.hasyim@uin-suska.ac.id</w:t>
        </w:r>
      </w:hyperlink>
      <w:r w:rsidRPr="00370682">
        <w:rPr>
          <w:rFonts w:ascii="Cambria" w:hAnsi="Cambria" w:cs="Calibri"/>
          <w:b w:val="0"/>
          <w:bCs w:val="0"/>
          <w:sz w:val="18"/>
          <w:vertAlign w:val="baseline"/>
          <w:lang w:val="sv-SE" w:eastAsia="zh-CN"/>
        </w:rPr>
        <w:t xml:space="preserve"> </w:t>
      </w:r>
    </w:p>
    <w:p w14:paraId="424944D7" w14:textId="77777777" w:rsidR="009146E3" w:rsidRPr="00370682" w:rsidRDefault="0071766D">
      <w:pPr>
        <w:pStyle w:val="affiliation"/>
        <w:jc w:val="left"/>
        <w:rPr>
          <w:rFonts w:ascii="Cambria" w:hAnsi="Cambria" w:cs="Calibri"/>
          <w:lang w:val="sv-SE"/>
        </w:rPr>
      </w:pPr>
      <w:r w:rsidRPr="00370682">
        <w:rPr>
          <w:rFonts w:ascii="Cambria" w:hAnsi="Cambria" w:cs="Calibri"/>
          <w:lang w:val="sv-S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9"/>
        <w:gridCol w:w="3030"/>
        <w:gridCol w:w="2583"/>
      </w:tblGrid>
      <w:tr w:rsidR="00370682" w:rsidRPr="00370682" w14:paraId="3D986068" w14:textId="77777777">
        <w:tc>
          <w:tcPr>
            <w:tcW w:w="3029" w:type="dxa"/>
          </w:tcPr>
          <w:p w14:paraId="0FE2C2A7" w14:textId="46263BE8" w:rsidR="00370682" w:rsidRPr="00370682" w:rsidRDefault="00370682" w:rsidP="00370682">
            <w:pPr>
              <w:pStyle w:val="Articlehistory"/>
              <w:rPr>
                <w:rFonts w:ascii="Cambria" w:hAnsi="Cambria" w:cs="Calibri"/>
              </w:rPr>
            </w:pPr>
            <w:r w:rsidRPr="00DA23C3">
              <w:rPr>
                <w:rFonts w:ascii="Cambria" w:hAnsi="Cambria" w:cstheme="minorHAnsi"/>
              </w:rPr>
              <w:t>Received: 12-01-2026</w:t>
            </w:r>
          </w:p>
        </w:tc>
        <w:tc>
          <w:tcPr>
            <w:tcW w:w="3030" w:type="dxa"/>
          </w:tcPr>
          <w:p w14:paraId="09522C48" w14:textId="5CB06F1A" w:rsidR="00370682" w:rsidRPr="00370682" w:rsidRDefault="00370682" w:rsidP="00370682">
            <w:pPr>
              <w:pStyle w:val="Articlehistory"/>
              <w:rPr>
                <w:rFonts w:ascii="Cambria" w:hAnsi="Cambria" w:cs="Calibri"/>
              </w:rPr>
            </w:pPr>
            <w:r w:rsidRPr="00DA23C3">
              <w:rPr>
                <w:rFonts w:ascii="Cambria" w:hAnsi="Cambria" w:cstheme="minorHAnsi"/>
              </w:rPr>
              <w:t>Revised: 7-02-2026</w:t>
            </w:r>
          </w:p>
        </w:tc>
        <w:tc>
          <w:tcPr>
            <w:tcW w:w="2583" w:type="dxa"/>
          </w:tcPr>
          <w:p w14:paraId="30796EB2" w14:textId="454C3457" w:rsidR="00370682" w:rsidRPr="00370682" w:rsidRDefault="00370682" w:rsidP="00370682">
            <w:pPr>
              <w:pStyle w:val="Articlehistory"/>
              <w:rPr>
                <w:rFonts w:ascii="Cambria" w:hAnsi="Cambria" w:cs="Calibri"/>
              </w:rPr>
            </w:pPr>
            <w:r w:rsidRPr="00DA23C3">
              <w:rPr>
                <w:rFonts w:ascii="Cambria" w:hAnsi="Cambria" w:cstheme="minorHAnsi"/>
              </w:rPr>
              <w:t>Accepted: 12-02-2026</w:t>
            </w:r>
          </w:p>
        </w:tc>
      </w:tr>
    </w:tbl>
    <w:p w14:paraId="19B74309" w14:textId="77777777" w:rsidR="009146E3" w:rsidRPr="00370682" w:rsidRDefault="009146E3">
      <w:pPr>
        <w:pStyle w:val="affiliation"/>
        <w:jc w:val="both"/>
        <w:rPr>
          <w:rFonts w:ascii="Cambria" w:hAnsi="Cambria" w:cs="Calibri"/>
          <w:lang w:val="en-US"/>
        </w:rPr>
      </w:pPr>
    </w:p>
    <w:tbl>
      <w:tblPr>
        <w:tblpPr w:leftFromText="187" w:rightFromText="187" w:bottomFromText="187" w:vertAnchor="text" w:tblpY="1"/>
        <w:tblOverlap w:val="never"/>
        <w:tblW w:w="8764" w:type="dxa"/>
        <w:tblBorders>
          <w:bottom w:val="single" w:sz="12" w:space="0" w:color="4472C4" w:themeColor="accent1"/>
        </w:tblBorders>
        <w:tblCellMar>
          <w:left w:w="0" w:type="dxa"/>
          <w:right w:w="0" w:type="dxa"/>
        </w:tblCellMar>
        <w:tblLook w:val="04A0" w:firstRow="1" w:lastRow="0" w:firstColumn="1" w:lastColumn="0" w:noHBand="0" w:noVBand="1"/>
      </w:tblPr>
      <w:tblGrid>
        <w:gridCol w:w="2397"/>
        <w:gridCol w:w="6231"/>
        <w:gridCol w:w="136"/>
      </w:tblGrid>
      <w:tr w:rsidR="009146E3" w:rsidRPr="00370682" w14:paraId="31D7F284" w14:textId="77777777">
        <w:trPr>
          <w:trHeight w:val="251"/>
        </w:trPr>
        <w:tc>
          <w:tcPr>
            <w:tcW w:w="2397" w:type="dxa"/>
            <w:tcBorders>
              <w:top w:val="single" w:sz="4" w:space="0" w:color="00B050"/>
              <w:bottom w:val="single" w:sz="4" w:space="0" w:color="00B050"/>
            </w:tcBorders>
            <w:vAlign w:val="center"/>
          </w:tcPr>
          <w:p w14:paraId="26936E2A" w14:textId="5CD40F45" w:rsidR="009146E3" w:rsidRPr="00370682" w:rsidRDefault="0071766D">
            <w:pPr>
              <w:pStyle w:val="AbstractHead"/>
              <w:rPr>
                <w:rFonts w:ascii="Cambria" w:hAnsi="Cambria" w:cs="Calibri"/>
                <w:b/>
                <w:bCs/>
              </w:rPr>
            </w:pPr>
            <w:r w:rsidRPr="00370682">
              <w:rPr>
                <w:rFonts w:ascii="Cambria" w:hAnsi="Cambria" w:cs="Calibri"/>
                <w:b/>
                <w:bCs/>
              </w:rPr>
              <w:t>k</w:t>
            </w:r>
            <w:r w:rsidR="00DE4FD5" w:rsidRPr="00370682">
              <w:rPr>
                <w:rFonts w:ascii="Cambria" w:hAnsi="Cambria" w:cs="Calibri"/>
                <w:b/>
                <w:bCs/>
              </w:rPr>
              <w:t>eywords</w:t>
            </w:r>
          </w:p>
        </w:tc>
        <w:tc>
          <w:tcPr>
            <w:tcW w:w="6231" w:type="dxa"/>
            <w:tcBorders>
              <w:top w:val="single" w:sz="4" w:space="0" w:color="00B050"/>
              <w:bottom w:val="single" w:sz="4" w:space="0" w:color="00B050"/>
            </w:tcBorders>
            <w:tcMar>
              <w:left w:w="240" w:type="dxa"/>
            </w:tcMar>
            <w:vAlign w:val="center"/>
          </w:tcPr>
          <w:p w14:paraId="00F5F616" w14:textId="674C6C42" w:rsidR="009146E3" w:rsidRPr="00370682" w:rsidRDefault="007572D0">
            <w:pPr>
              <w:pStyle w:val="AbstractHead"/>
              <w:jc w:val="center"/>
              <w:rPr>
                <w:rFonts w:ascii="Cambria" w:hAnsi="Cambria" w:cs="Calibri"/>
                <w:b/>
              </w:rPr>
            </w:pPr>
            <w:r w:rsidRPr="00370682">
              <w:rPr>
                <w:rFonts w:ascii="Cambria" w:hAnsi="Cambria" w:cs="Calibri"/>
                <w:b/>
              </w:rPr>
              <w:t>ABSTRACT</w:t>
            </w:r>
          </w:p>
        </w:tc>
        <w:tc>
          <w:tcPr>
            <w:tcW w:w="136" w:type="dxa"/>
            <w:tcBorders>
              <w:top w:val="single" w:sz="4" w:space="0" w:color="00B050"/>
              <w:bottom w:val="single" w:sz="4" w:space="0" w:color="00B050"/>
            </w:tcBorders>
          </w:tcPr>
          <w:p w14:paraId="76EE5FA3" w14:textId="77777777" w:rsidR="009146E3" w:rsidRPr="00370682" w:rsidRDefault="009146E3">
            <w:pPr>
              <w:pStyle w:val="AbstractHead"/>
              <w:rPr>
                <w:rFonts w:ascii="Cambria" w:hAnsi="Cambria" w:cs="Calibri"/>
              </w:rPr>
            </w:pPr>
          </w:p>
        </w:tc>
      </w:tr>
      <w:tr w:rsidR="009146E3" w:rsidRPr="00370682" w14:paraId="7A4B03D9" w14:textId="77777777">
        <w:trPr>
          <w:trHeight w:val="1068"/>
        </w:trPr>
        <w:tc>
          <w:tcPr>
            <w:tcW w:w="2397" w:type="dxa"/>
            <w:vMerge w:val="restart"/>
            <w:tcBorders>
              <w:top w:val="single" w:sz="4" w:space="0" w:color="00B050"/>
              <w:bottom w:val="single" w:sz="4" w:space="0" w:color="auto"/>
            </w:tcBorders>
            <w:tcMar>
              <w:top w:w="72" w:type="dxa"/>
            </w:tcMar>
          </w:tcPr>
          <w:p w14:paraId="1860F5E7" w14:textId="194EC959" w:rsidR="009146E3" w:rsidRPr="00370682" w:rsidRDefault="00C30542">
            <w:pPr>
              <w:pStyle w:val="Keyword"/>
              <w:rPr>
                <w:rFonts w:ascii="Cambria" w:hAnsi="Cambria" w:cs="Calibri"/>
              </w:rPr>
            </w:pPr>
            <w:r w:rsidRPr="00370682">
              <w:rPr>
                <w:rFonts w:ascii="Cambria" w:hAnsi="Cambria" w:cs="Calibri"/>
                <w:i/>
                <w:iCs/>
                <w:lang w:val="en-ID"/>
              </w:rPr>
              <w:t>Merdeka Curriculum</w:t>
            </w:r>
            <w:r w:rsidR="00DE4FD5" w:rsidRPr="00370682">
              <w:rPr>
                <w:rFonts w:ascii="Cambria" w:hAnsi="Cambria" w:cs="Calibri"/>
              </w:rPr>
              <w:t>;</w:t>
            </w:r>
          </w:p>
          <w:p w14:paraId="5AC661D4" w14:textId="4AF6F9AE" w:rsidR="009146E3" w:rsidRPr="00370682" w:rsidRDefault="00C30542">
            <w:pPr>
              <w:pStyle w:val="Keyword"/>
              <w:rPr>
                <w:rFonts w:ascii="Cambria" w:hAnsi="Cambria" w:cs="Calibri"/>
              </w:rPr>
            </w:pPr>
            <w:r w:rsidRPr="00370682">
              <w:rPr>
                <w:rFonts w:ascii="Cambria" w:hAnsi="Cambria" w:cs="Calibri"/>
                <w:i/>
                <w:iCs/>
                <w:lang w:val="en-ID"/>
              </w:rPr>
              <w:t>Student-Centered Learning</w:t>
            </w:r>
            <w:r w:rsidR="00DE4FD5" w:rsidRPr="00370682">
              <w:rPr>
                <w:rFonts w:ascii="Cambria" w:hAnsi="Cambria" w:cs="Calibri"/>
              </w:rPr>
              <w:t>;</w:t>
            </w:r>
          </w:p>
          <w:p w14:paraId="07A3E3BA" w14:textId="13FD2ACB" w:rsidR="009146E3" w:rsidRPr="00370682" w:rsidRDefault="00C30542">
            <w:pPr>
              <w:pStyle w:val="Keyword"/>
              <w:rPr>
                <w:rFonts w:ascii="Cambria" w:hAnsi="Cambria" w:cs="Calibri"/>
              </w:rPr>
            </w:pPr>
            <w:r w:rsidRPr="00370682">
              <w:rPr>
                <w:rFonts w:ascii="Cambria" w:hAnsi="Cambria" w:cs="Calibri"/>
                <w:i/>
                <w:iCs/>
                <w:lang w:val="en-ID"/>
              </w:rPr>
              <w:t>Islamic Education</w:t>
            </w:r>
            <w:r w:rsidR="00DE4FD5" w:rsidRPr="00370682">
              <w:rPr>
                <w:rFonts w:ascii="Cambria" w:hAnsi="Cambria" w:cs="Calibri"/>
              </w:rPr>
              <w:t>;</w:t>
            </w:r>
          </w:p>
          <w:p w14:paraId="356404A7" w14:textId="3BD2304A" w:rsidR="009146E3" w:rsidRPr="00370682" w:rsidRDefault="00C30542">
            <w:pPr>
              <w:pStyle w:val="Keyword"/>
              <w:rPr>
                <w:rFonts w:ascii="Cambria" w:hAnsi="Cambria" w:cs="Calibri"/>
              </w:rPr>
            </w:pPr>
            <w:r w:rsidRPr="00370682">
              <w:rPr>
                <w:rFonts w:ascii="Cambria" w:hAnsi="Cambria" w:cs="Calibri"/>
                <w:i/>
                <w:iCs/>
                <w:lang w:val="en-ID"/>
              </w:rPr>
              <w:t>Education Quality</w:t>
            </w:r>
            <w:r w:rsidR="00DE4FD5" w:rsidRPr="00370682">
              <w:rPr>
                <w:rFonts w:ascii="Cambria" w:hAnsi="Cambria" w:cs="Calibri"/>
              </w:rPr>
              <w:t>.</w:t>
            </w:r>
          </w:p>
          <w:p w14:paraId="59134957" w14:textId="77777777" w:rsidR="009146E3" w:rsidRPr="00370682" w:rsidRDefault="009146E3">
            <w:pPr>
              <w:pStyle w:val="Keyword"/>
              <w:rPr>
                <w:rFonts w:ascii="Cambria" w:hAnsi="Cambria" w:cs="Calibri"/>
              </w:rPr>
            </w:pPr>
          </w:p>
          <w:p w14:paraId="53F1842B" w14:textId="77777777" w:rsidR="009146E3" w:rsidRPr="00370682" w:rsidRDefault="009146E3">
            <w:pPr>
              <w:pStyle w:val="Keyword"/>
              <w:rPr>
                <w:rFonts w:ascii="Cambria" w:hAnsi="Cambria" w:cs="Calibri"/>
                <w:i/>
              </w:rPr>
            </w:pPr>
          </w:p>
        </w:tc>
        <w:tc>
          <w:tcPr>
            <w:tcW w:w="6231" w:type="dxa"/>
            <w:vMerge w:val="restart"/>
            <w:tcBorders>
              <w:top w:val="single" w:sz="4" w:space="0" w:color="00B050"/>
            </w:tcBorders>
            <w:shd w:val="clear" w:color="auto" w:fill="F2F2F2" w:themeFill="background1" w:themeFillShade="F2"/>
            <w:tcMar>
              <w:left w:w="240" w:type="dxa"/>
            </w:tcMar>
          </w:tcPr>
          <w:p w14:paraId="6F69FF77" w14:textId="4A8963C1" w:rsidR="005D4B3B" w:rsidRPr="00370682" w:rsidRDefault="00C30542" w:rsidP="005D4B3B">
            <w:pPr>
              <w:pStyle w:val="NormalWeb"/>
              <w:shd w:val="clear" w:color="auto" w:fill="FFFFFF"/>
              <w:spacing w:before="0" w:beforeAutospacing="0" w:after="240" w:afterAutospacing="0"/>
              <w:jc w:val="both"/>
              <w:rPr>
                <w:rFonts w:ascii="Cambria" w:hAnsi="Cambria" w:cs="Calibri"/>
                <w:color w:val="000000"/>
                <w:sz w:val="20"/>
                <w:szCs w:val="20"/>
              </w:rPr>
            </w:pPr>
            <w:r w:rsidRPr="00370682">
              <w:rPr>
                <w:rFonts w:ascii="Cambria" w:hAnsi="Cambria" w:cs="Calibri"/>
                <w:i/>
                <w:iCs/>
                <w:color w:val="000000"/>
                <w:sz w:val="20"/>
                <w:szCs w:val="20"/>
                <w:lang w:val="en-ID"/>
              </w:rPr>
              <w:t>This article aims to analyze the merdeka curriculum policy in relation to the implementation of student-centered learning (SCL) as a means of improving the quality of Islamic education. The study focuses on how problem-based learning (PBL), project-based learning (PjBL), and deep learning models can be integrated into the context of madrasahs and pesantren, while also examining their implications for cognitive, affective, and psychomotor competencies, the strengthening of Islamic character, and the development of 21st-century skills. The research method employed is a literature study using content analysis techniques. Data were collected from various academic sources, including books, journal articles, and relevant research findings. The analysis process involved selecting, categorizing, comparing, and synthesizing information from these sources to obtain a comprehensive picture of the merdeka curriculum implementation.The findings indicate that the merdeka curriculum provides a policy direction that supports student-centered learning through curriculum flexibility, diagnostic assessment, and the project for strengthening the Pancasila Student Profile. The application of SCL in Islamic education has proven effective in enhancing critical thinking, creativity, collaboration, and communication skills, while also deepening the internalization of Islamic values. Nevertheless, several challenges remain, such as teacher readiness, limited facilities, and the persistence of traditional learning cultures. In conclusion, the merdeka curriculum holds great potential to improve the quality of Islamic education, provided it is supported by teacher capacity building, adequate facilities, and comprehensive evaluation. With consistent implementation, Islamic education can produce graduates who are not only academically competent but also possess strong Islamic character and are well-prepared for the demands of the 21st century</w:t>
            </w:r>
            <w:r w:rsidR="005D4B3B" w:rsidRPr="00370682">
              <w:rPr>
                <w:rFonts w:ascii="Cambria" w:hAnsi="Cambria" w:cs="Calibri"/>
                <w:color w:val="000000"/>
                <w:sz w:val="20"/>
                <w:szCs w:val="20"/>
              </w:rPr>
              <w:t>.</w:t>
            </w:r>
          </w:p>
          <w:p w14:paraId="077EB0F2" w14:textId="77777777" w:rsidR="009146E3" w:rsidRPr="00370682" w:rsidRDefault="0071766D">
            <w:pPr>
              <w:pStyle w:val="Copyright"/>
              <w:framePr w:hSpace="0" w:wrap="auto" w:vAnchor="margin" w:yAlign="inline"/>
              <w:ind w:right="149"/>
              <w:rPr>
                <w:rFonts w:ascii="Cambria" w:hAnsi="Cambria" w:cs="Calibri"/>
              </w:rPr>
            </w:pPr>
            <w:r w:rsidRPr="00370682">
              <w:rPr>
                <w:rFonts w:ascii="Cambria" w:hAnsi="Cambria" w:cs="Calibri"/>
                <w:noProof/>
                <w:lang w:val="en-US"/>
              </w:rPr>
              <w:drawing>
                <wp:anchor distT="0" distB="0" distL="114300" distR="114300" simplePos="0" relativeHeight="251658240" behindDoc="0" locked="0" layoutInCell="1" allowOverlap="0" wp14:anchorId="40BC6CC2" wp14:editId="17A51357">
                  <wp:simplePos x="0" y="0"/>
                  <wp:positionH relativeFrom="column">
                    <wp:posOffset>2844800</wp:posOffset>
                  </wp:positionH>
                  <wp:positionV relativeFrom="paragraph">
                    <wp:posOffset>168910</wp:posOffset>
                  </wp:positionV>
                  <wp:extent cx="840105" cy="297180"/>
                  <wp:effectExtent l="0" t="0" r="0" b="0"/>
                  <wp:wrapTopAndBottom/>
                  <wp:docPr id="9" name="Picture 1" descr="Description: Description: https://licensebuttons.net/l/by-sa/3.0/88x3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6" descr="Description: Description: https://licensebuttons.net/l/by-sa/3.0/88x31.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840105" cy="297180"/>
                          </a:xfrm>
                          <a:prstGeom prst="rect">
                            <a:avLst/>
                          </a:prstGeom>
                          <a:noFill/>
                          <a:ln>
                            <a:noFill/>
                          </a:ln>
                        </pic:spPr>
                      </pic:pic>
                    </a:graphicData>
                  </a:graphic>
                </wp:anchor>
              </w:drawing>
            </w:r>
            <w:r w:rsidRPr="00370682">
              <w:rPr>
                <w:rFonts w:ascii="Cambria" w:hAnsi="Cambria" w:cs="Calibri"/>
              </w:rPr>
              <w:t xml:space="preserve">This is an open-access article under the </w:t>
            </w:r>
            <w:hyperlink r:id="rId15" w:history="1">
              <w:r w:rsidRPr="00370682">
                <w:rPr>
                  <w:rStyle w:val="Hyperlink"/>
                  <w:rFonts w:ascii="Cambria" w:hAnsi="Cambria" w:cs="Calibri"/>
                </w:rPr>
                <w:t>CC–BY-SA</w:t>
              </w:r>
            </w:hyperlink>
            <w:r w:rsidRPr="00370682">
              <w:rPr>
                <w:rFonts w:ascii="Cambria" w:hAnsi="Cambria" w:cs="Calibri"/>
              </w:rPr>
              <w:t xml:space="preserve"> license. </w:t>
            </w:r>
          </w:p>
          <w:p w14:paraId="2256FAF3" w14:textId="77777777" w:rsidR="009146E3" w:rsidRPr="00370682" w:rsidRDefault="0071766D">
            <w:pPr>
              <w:pStyle w:val="Copyright"/>
              <w:framePr w:hSpace="0" w:wrap="auto" w:vAnchor="margin" w:yAlign="inline"/>
              <w:ind w:right="149"/>
              <w:rPr>
                <w:rFonts w:ascii="Cambria" w:hAnsi="Cambria" w:cs="Calibri"/>
              </w:rPr>
            </w:pPr>
            <w:r w:rsidRPr="00370682">
              <w:rPr>
                <w:rFonts w:ascii="Cambria" w:hAnsi="Cambria" w:cs="Calibri"/>
              </w:rPr>
              <w:t xml:space="preserve">  </w:t>
            </w:r>
          </w:p>
        </w:tc>
        <w:tc>
          <w:tcPr>
            <w:tcW w:w="136" w:type="dxa"/>
            <w:vMerge w:val="restart"/>
            <w:tcBorders>
              <w:top w:val="single" w:sz="4" w:space="0" w:color="00B050"/>
            </w:tcBorders>
            <w:shd w:val="clear" w:color="auto" w:fill="F2F2F2" w:themeFill="background1" w:themeFillShade="F2"/>
          </w:tcPr>
          <w:p w14:paraId="7DE5F73E" w14:textId="77777777" w:rsidR="009146E3" w:rsidRPr="00370682" w:rsidRDefault="009146E3">
            <w:pPr>
              <w:pStyle w:val="AbstractText"/>
              <w:rPr>
                <w:rFonts w:ascii="Cambria" w:hAnsi="Cambria" w:cs="Calibri"/>
              </w:rPr>
            </w:pPr>
          </w:p>
        </w:tc>
      </w:tr>
      <w:tr w:rsidR="009146E3" w:rsidRPr="00370682" w14:paraId="7A4BD39E" w14:textId="77777777">
        <w:trPr>
          <w:trHeight w:val="1408"/>
        </w:trPr>
        <w:tc>
          <w:tcPr>
            <w:tcW w:w="2397" w:type="dxa"/>
            <w:vMerge/>
            <w:tcBorders>
              <w:bottom w:val="single" w:sz="4" w:space="0" w:color="auto"/>
            </w:tcBorders>
            <w:tcMar>
              <w:top w:w="72" w:type="dxa"/>
              <w:left w:w="0" w:type="dxa"/>
            </w:tcMar>
          </w:tcPr>
          <w:p w14:paraId="2ADFA5A0" w14:textId="77777777" w:rsidR="009146E3" w:rsidRPr="00370682" w:rsidRDefault="009146E3">
            <w:pPr>
              <w:pStyle w:val="Keyword"/>
              <w:rPr>
                <w:rFonts w:ascii="Cambria" w:hAnsi="Cambria" w:cs="Calibri"/>
              </w:rPr>
            </w:pPr>
          </w:p>
        </w:tc>
        <w:tc>
          <w:tcPr>
            <w:tcW w:w="6231" w:type="dxa"/>
            <w:vMerge/>
            <w:tcBorders>
              <w:bottom w:val="single" w:sz="4" w:space="0" w:color="00B050"/>
            </w:tcBorders>
            <w:shd w:val="clear" w:color="auto" w:fill="F2F2F2" w:themeFill="background1" w:themeFillShade="F2"/>
          </w:tcPr>
          <w:p w14:paraId="60E1C676" w14:textId="77777777" w:rsidR="009146E3" w:rsidRPr="00370682" w:rsidRDefault="009146E3">
            <w:pPr>
              <w:spacing w:after="80" w:line="200" w:lineRule="exact"/>
              <w:rPr>
                <w:rFonts w:ascii="Cambria" w:hAnsi="Cambria" w:cs="Calibri"/>
              </w:rPr>
            </w:pPr>
          </w:p>
        </w:tc>
        <w:tc>
          <w:tcPr>
            <w:tcW w:w="136" w:type="dxa"/>
            <w:vMerge/>
            <w:tcBorders>
              <w:bottom w:val="single" w:sz="4" w:space="0" w:color="00B050"/>
            </w:tcBorders>
            <w:shd w:val="clear" w:color="auto" w:fill="F2F2F2" w:themeFill="background1" w:themeFillShade="F2"/>
          </w:tcPr>
          <w:p w14:paraId="508786D1" w14:textId="77777777" w:rsidR="009146E3" w:rsidRPr="00370682" w:rsidRDefault="009146E3">
            <w:pPr>
              <w:spacing w:after="80" w:line="200" w:lineRule="exact"/>
              <w:rPr>
                <w:rFonts w:ascii="Cambria" w:hAnsi="Cambria" w:cs="Calibri"/>
              </w:rPr>
            </w:pPr>
          </w:p>
        </w:tc>
      </w:tr>
    </w:tbl>
    <w:p w14:paraId="4A02507B" w14:textId="1952500A" w:rsidR="009146E3" w:rsidRPr="00370682" w:rsidRDefault="007947DC" w:rsidP="005D4B3B">
      <w:pPr>
        <w:pStyle w:val="HD-1"/>
        <w:spacing w:after="240" w:line="240" w:lineRule="auto"/>
        <w:rPr>
          <w:rFonts w:ascii="Cambria" w:hAnsi="Cambria" w:cs="Calibri"/>
          <w:lang w:val="en-GB"/>
        </w:rPr>
      </w:pPr>
      <w:r w:rsidRPr="00370682">
        <w:rPr>
          <w:rFonts w:ascii="Cambria" w:hAnsi="Cambria" w:cs="Calibri"/>
        </w:rPr>
        <w:t>INTRODUCTION</w:t>
      </w:r>
    </w:p>
    <w:p w14:paraId="4ED86AB6" w14:textId="77777777" w:rsidR="007947DC" w:rsidRPr="00370682" w:rsidRDefault="007947DC" w:rsidP="007947DC">
      <w:pPr>
        <w:pStyle w:val="NormalWeb"/>
        <w:shd w:val="clear" w:color="auto" w:fill="FFFFFF"/>
        <w:spacing w:before="0" w:beforeAutospacing="0" w:after="240" w:afterAutospacing="0"/>
        <w:ind w:firstLine="720"/>
        <w:jc w:val="both"/>
        <w:rPr>
          <w:rFonts w:ascii="Cambria" w:hAnsi="Cambria" w:cs="Calibri"/>
          <w:color w:val="000000"/>
          <w:sz w:val="22"/>
          <w:szCs w:val="22"/>
        </w:rPr>
      </w:pPr>
      <w:r w:rsidRPr="00370682">
        <w:rPr>
          <w:rFonts w:ascii="Cambria" w:hAnsi="Cambria" w:cs="Calibri"/>
          <w:color w:val="000000"/>
          <w:sz w:val="22"/>
          <w:szCs w:val="22"/>
        </w:rPr>
        <w:t xml:space="preserve">The rapid transformation of global education in the era of the Fourth Industrial Revolution and Society 5.0 demands fundamental changes in how educational institutions prepare future generations. Contemporary professional and social environments increasingly require individuals who are not only cognitively proficient but also adaptive, creative, collaborative, and capable of addressing complex problems with critical reasoning. These shifting demands necessitate a transformation of instructional strategies from conventional </w:t>
      </w:r>
      <w:r w:rsidRPr="00370682">
        <w:rPr>
          <w:rFonts w:ascii="Cambria" w:hAnsi="Cambria" w:cs="Calibri"/>
          <w:color w:val="000000"/>
          <w:sz w:val="22"/>
          <w:szCs w:val="22"/>
        </w:rPr>
        <w:lastRenderedPageBreak/>
        <w:t>teacher-centered approaches toward learning models that allow students to explore, discover, and construct knowledge independently and meaningfully. This paradigm shift has gained significant attention worldwide, including in Indonesia, which continues to restructure its educational system to become more responsive to the needs of the twenty-first century.</w:t>
      </w:r>
    </w:p>
    <w:p w14:paraId="5F829764" w14:textId="77777777" w:rsidR="007947DC" w:rsidRPr="00370682" w:rsidRDefault="007947DC" w:rsidP="007947DC">
      <w:pPr>
        <w:pStyle w:val="NormalWeb"/>
        <w:shd w:val="clear" w:color="auto" w:fill="FFFFFF"/>
        <w:spacing w:before="0" w:beforeAutospacing="0" w:after="240" w:afterAutospacing="0"/>
        <w:ind w:firstLine="720"/>
        <w:jc w:val="both"/>
        <w:rPr>
          <w:rFonts w:ascii="Cambria" w:hAnsi="Cambria" w:cs="Calibri"/>
          <w:color w:val="000000"/>
          <w:sz w:val="22"/>
          <w:szCs w:val="22"/>
        </w:rPr>
      </w:pPr>
      <w:r w:rsidRPr="00370682">
        <w:rPr>
          <w:rFonts w:ascii="Cambria" w:hAnsi="Cambria" w:cs="Calibri"/>
          <w:color w:val="000000"/>
          <w:sz w:val="22"/>
          <w:szCs w:val="22"/>
        </w:rPr>
        <w:t>Within the context of Islamic education, these challenges are even more multifaceted. Numerous studies indicate that the quality of Islamic education still faces foundational issues such as limited pedagogical competence among teachers, the dominance of lecture-based instruction, and disparities in educational facilities across regions (Haris, 2019; Maimunah &amp; Jannah, 2025; Hasmawati &amp; Muktamar, 2023). These conditions often hinder the optimal development of students’ intellectual abilities and character formation. In fact, Islamic education carries a dual mandate—to cultivate academically competent learners while simultaneously nurturing moral excellence and strengthening spiritual values in daily life (Iqbal et al., 2024).</w:t>
      </w:r>
    </w:p>
    <w:p w14:paraId="2FF6B7E9" w14:textId="77777777" w:rsidR="007947DC" w:rsidRPr="00370682" w:rsidRDefault="007947DC" w:rsidP="007947DC">
      <w:pPr>
        <w:pStyle w:val="NormalWeb"/>
        <w:shd w:val="clear" w:color="auto" w:fill="FFFFFF"/>
        <w:spacing w:before="0" w:beforeAutospacing="0" w:after="240" w:afterAutospacing="0"/>
        <w:ind w:firstLine="720"/>
        <w:jc w:val="both"/>
        <w:rPr>
          <w:rFonts w:ascii="Cambria" w:hAnsi="Cambria" w:cs="Calibri"/>
          <w:color w:val="000000"/>
          <w:sz w:val="22"/>
          <w:szCs w:val="22"/>
        </w:rPr>
      </w:pPr>
      <w:r w:rsidRPr="00370682">
        <w:rPr>
          <w:rFonts w:ascii="Cambria" w:hAnsi="Cambria" w:cs="Calibri"/>
          <w:color w:val="000000"/>
          <w:sz w:val="22"/>
          <w:szCs w:val="22"/>
        </w:rPr>
        <w:t>As a response to these challenges, the Indonesian government introduced the Merdeka Belajar policy, which was subsequently operationalized through the Merdeka Curriculum. This curriculum is designed to provide schools and educators with greater flexibility to develop learning processes aligned with students’ characteristics and the contextual needs of each institution. Through differentiation, diagnostic assessment, and the streamlining of learning content, the Merdeka Curriculum encourages more adaptive, creative, and relevant learning experiences across all educational levels, including Islamic educational institutions (Hasmawati &amp; Muktamar, 2023).</w:t>
      </w:r>
    </w:p>
    <w:p w14:paraId="26FA44A8" w14:textId="77777777" w:rsidR="007947DC" w:rsidRPr="00370682" w:rsidRDefault="007947DC" w:rsidP="007947DC">
      <w:pPr>
        <w:pStyle w:val="NormalWeb"/>
        <w:shd w:val="clear" w:color="auto" w:fill="FFFFFF"/>
        <w:spacing w:before="0" w:beforeAutospacing="0" w:after="240" w:afterAutospacing="0"/>
        <w:ind w:firstLine="720"/>
        <w:jc w:val="both"/>
        <w:rPr>
          <w:rFonts w:ascii="Cambria" w:hAnsi="Cambria" w:cs="Calibri"/>
          <w:color w:val="000000"/>
          <w:sz w:val="22"/>
          <w:szCs w:val="22"/>
        </w:rPr>
      </w:pPr>
      <w:r w:rsidRPr="00370682">
        <w:rPr>
          <w:rFonts w:ascii="Cambria" w:hAnsi="Cambria" w:cs="Calibri"/>
          <w:color w:val="000000"/>
          <w:sz w:val="22"/>
          <w:szCs w:val="22"/>
        </w:rPr>
        <w:t>One of the central ideas within the Merdeka Curriculum is the reinforcement of the student-centered learning (SCL) paradigm. This approach positions learners as active agents who construct their own understanding, while teachers serve as facilitators who curate meaningful learning experiences. The use of models such as Problem-Based Learning, Project-Based Learning, and Deep Learning is believed to enhance students’ critical thinking, creativity, collaboration, and character development in a more holistic manner (Rizal et al., 2025; Halid, 2022; Aswati &amp; Anwar, 2025). In the context of Islamic education, such approaches hold strategic potential to integrate academic achievement with the strengthening of Islamic values through more contextual and reflective learning experiences.</w:t>
      </w:r>
    </w:p>
    <w:p w14:paraId="6A28A0CB" w14:textId="77777777" w:rsidR="007947DC" w:rsidRPr="00370682" w:rsidRDefault="007947DC" w:rsidP="007947DC">
      <w:pPr>
        <w:pStyle w:val="NormalWeb"/>
        <w:shd w:val="clear" w:color="auto" w:fill="FFFFFF"/>
        <w:spacing w:before="0" w:beforeAutospacing="0" w:after="240" w:afterAutospacing="0"/>
        <w:ind w:firstLine="720"/>
        <w:jc w:val="both"/>
        <w:rPr>
          <w:rFonts w:ascii="Cambria" w:hAnsi="Cambria" w:cs="Calibri"/>
          <w:color w:val="000000"/>
          <w:sz w:val="22"/>
          <w:szCs w:val="22"/>
        </w:rPr>
      </w:pPr>
      <w:r w:rsidRPr="00370682">
        <w:rPr>
          <w:rFonts w:ascii="Cambria" w:hAnsi="Cambria" w:cs="Calibri"/>
          <w:color w:val="000000"/>
          <w:sz w:val="22"/>
          <w:szCs w:val="22"/>
        </w:rPr>
        <w:t>However, the implementation of SCL in Islamic educational institutions has not yet reached its ideal potential. Several studies reveal gaps between the goals articulated in the Merdeka Curriculum policy and actual classroom practices. Common challenges include insufficient teacher training, limited facilities necessary to support project-based learning, and deeply rooted traditional learning cultures that continue to dominate instructional practices (Mokodompit et al., 2024; Liliyani, 2024). These constraints indicate that genuine transformation requires not only individual teacher readiness but also institutional adaptation and sustained policy support.</w:t>
      </w:r>
    </w:p>
    <w:p w14:paraId="33AD7BB1" w14:textId="77777777" w:rsidR="007947DC" w:rsidRPr="00370682" w:rsidRDefault="007947DC" w:rsidP="007947DC">
      <w:pPr>
        <w:pStyle w:val="NormalWeb"/>
        <w:shd w:val="clear" w:color="auto" w:fill="FFFFFF"/>
        <w:spacing w:before="0" w:beforeAutospacing="0" w:after="240" w:afterAutospacing="0"/>
        <w:ind w:firstLine="720"/>
        <w:jc w:val="both"/>
        <w:rPr>
          <w:rFonts w:ascii="Cambria" w:hAnsi="Cambria" w:cs="Calibri"/>
          <w:color w:val="000000"/>
          <w:sz w:val="22"/>
          <w:szCs w:val="22"/>
        </w:rPr>
      </w:pPr>
      <w:r w:rsidRPr="00370682">
        <w:rPr>
          <w:rFonts w:ascii="Cambria" w:hAnsi="Cambria" w:cs="Calibri"/>
          <w:color w:val="000000"/>
          <w:sz w:val="22"/>
          <w:szCs w:val="22"/>
        </w:rPr>
        <w:t>Academic studies that specifically examine the intersection between the Merdeka Curriculum, student-centered learning, and Islamic education remain relatively limited. Most research focuses on the curriculum’s implementation in general schools, while the unique values, traditions, and challenges of Islamic educational institutions have yet to be explored comprehensively. In fact, an in-depth analysis of the relationship between curriculum policy, instructional approaches, and the quality of Islamic education is essential to ensure that the implementation of the Merdeka Curriculum is inclusive and contextually relevant.</w:t>
      </w:r>
    </w:p>
    <w:p w14:paraId="09935A5B" w14:textId="24549F2B" w:rsidR="00C30542" w:rsidRPr="00370682" w:rsidRDefault="007947DC" w:rsidP="007947DC">
      <w:pPr>
        <w:pStyle w:val="NormalWeb"/>
        <w:shd w:val="clear" w:color="auto" w:fill="FFFFFF"/>
        <w:spacing w:before="0" w:beforeAutospacing="0" w:after="240" w:afterAutospacing="0"/>
        <w:ind w:firstLine="720"/>
        <w:jc w:val="both"/>
        <w:rPr>
          <w:rFonts w:ascii="Cambria" w:hAnsi="Cambria" w:cs="Calibri"/>
          <w:color w:val="000000"/>
          <w:sz w:val="22"/>
          <w:szCs w:val="22"/>
        </w:rPr>
      </w:pPr>
      <w:r w:rsidRPr="00370682">
        <w:rPr>
          <w:rFonts w:ascii="Cambria" w:hAnsi="Cambria" w:cs="Calibri"/>
          <w:color w:val="000000"/>
          <w:sz w:val="22"/>
          <w:szCs w:val="22"/>
        </w:rPr>
        <w:t xml:space="preserve">In light of this urgency, the present article seeks to conceptually analyze the Merdeka Curriculum in relation to the implementation of student-centered learning and to describe its implications for improving the quality of Islamic education. This study aims to offer both </w:t>
      </w:r>
      <w:r w:rsidRPr="00370682">
        <w:rPr>
          <w:rFonts w:ascii="Cambria" w:hAnsi="Cambria" w:cs="Calibri"/>
          <w:color w:val="000000"/>
          <w:sz w:val="22"/>
          <w:szCs w:val="22"/>
        </w:rPr>
        <w:lastRenderedPageBreak/>
        <w:t>theoretical and practical insights that can support the development of Islamic learning environments that are adaptive, character-oriented, and aligned with the demands of the twenty-first century</w:t>
      </w:r>
      <w:r w:rsidR="00C30542" w:rsidRPr="00370682">
        <w:rPr>
          <w:rFonts w:ascii="Cambria" w:hAnsi="Cambria" w:cs="Calibri"/>
          <w:color w:val="000000"/>
          <w:sz w:val="22"/>
          <w:szCs w:val="22"/>
          <w:lang w:val="id-ID"/>
        </w:rPr>
        <w:t>.</w:t>
      </w:r>
    </w:p>
    <w:p w14:paraId="6A31F02F" w14:textId="77777777" w:rsidR="007947DC" w:rsidRPr="00370682" w:rsidRDefault="007947DC" w:rsidP="007947DC">
      <w:pPr>
        <w:pStyle w:val="NormalWeb"/>
        <w:shd w:val="clear" w:color="auto" w:fill="FFFFFF"/>
        <w:spacing w:after="240"/>
        <w:jc w:val="both"/>
        <w:rPr>
          <w:rFonts w:ascii="Cambria" w:hAnsi="Cambria" w:cs="Calibri"/>
          <w:b/>
          <w:bCs/>
          <w:color w:val="000000"/>
          <w:sz w:val="22"/>
          <w:szCs w:val="22"/>
        </w:rPr>
      </w:pPr>
      <w:r w:rsidRPr="00370682">
        <w:rPr>
          <w:rFonts w:ascii="Cambria" w:hAnsi="Cambria" w:cs="Calibri"/>
          <w:b/>
          <w:bCs/>
          <w:color w:val="000000"/>
          <w:sz w:val="22"/>
          <w:szCs w:val="22"/>
        </w:rPr>
        <w:t>Merdeka Curriculum</w:t>
      </w:r>
    </w:p>
    <w:p w14:paraId="18D83DC0" w14:textId="4591343E"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t xml:space="preserve">The Merdeka Curriculum is one of the concrete manifestations of the </w:t>
      </w:r>
      <w:r w:rsidRPr="00370682">
        <w:rPr>
          <w:rFonts w:ascii="Cambria" w:hAnsi="Cambria" w:cs="Calibri"/>
          <w:bCs/>
          <w:i/>
          <w:iCs/>
          <w:color w:val="000000"/>
          <w:sz w:val="22"/>
          <w:szCs w:val="22"/>
        </w:rPr>
        <w:t>Merdeka Belajar</w:t>
      </w:r>
      <w:r w:rsidRPr="00370682">
        <w:rPr>
          <w:rFonts w:ascii="Cambria" w:hAnsi="Cambria" w:cs="Calibri"/>
          <w:bCs/>
          <w:color w:val="000000"/>
          <w:sz w:val="22"/>
          <w:szCs w:val="22"/>
        </w:rPr>
        <w:t xml:space="preserve"> (Freedom to Learn) policy introduced by the Indonesian Ministry of Education, Culture, Research, and Technology in 2019. This policy seeks to establish a curriculum that is simpler, more flexible, and focused on essential content, enabling students to develop their competencies and character in accordance with the </w:t>
      </w:r>
      <w:r w:rsidRPr="00370682">
        <w:rPr>
          <w:rFonts w:ascii="Cambria" w:hAnsi="Cambria" w:cs="Calibri"/>
          <w:bCs/>
          <w:i/>
          <w:iCs/>
          <w:color w:val="000000"/>
          <w:sz w:val="22"/>
          <w:szCs w:val="22"/>
        </w:rPr>
        <w:t>Profil Pelajar Pancasila</w:t>
      </w:r>
      <w:r w:rsidRPr="00370682">
        <w:rPr>
          <w:rFonts w:ascii="Cambria" w:hAnsi="Cambria" w:cs="Calibri"/>
          <w:bCs/>
          <w:color w:val="000000"/>
          <w:sz w:val="22"/>
          <w:szCs w:val="22"/>
        </w:rPr>
        <w:t xml:space="preserve"> (Pancasila Student Profile) (Zaeni et al., 2023). Conceptually, the Merdeka Curriculum emp</w:t>
      </w:r>
      <w:r w:rsidR="00155009" w:rsidRPr="00370682">
        <w:rPr>
          <w:rFonts w:ascii="Cambria" w:hAnsi="Cambria" w:cs="Calibri"/>
          <w:bCs/>
          <w:color w:val="000000"/>
          <w:sz w:val="22"/>
          <w:szCs w:val="22"/>
        </w:rPr>
        <w:t xml:space="preserve">hasizes differentiated learning </w:t>
      </w:r>
      <w:r w:rsidRPr="00370682">
        <w:rPr>
          <w:rFonts w:ascii="Cambria" w:hAnsi="Cambria" w:cs="Calibri"/>
          <w:bCs/>
          <w:color w:val="000000"/>
          <w:sz w:val="22"/>
          <w:szCs w:val="22"/>
        </w:rPr>
        <w:t>across con</w:t>
      </w:r>
      <w:r w:rsidR="00155009" w:rsidRPr="00370682">
        <w:rPr>
          <w:rFonts w:ascii="Cambria" w:hAnsi="Cambria" w:cs="Calibri"/>
          <w:bCs/>
          <w:color w:val="000000"/>
          <w:sz w:val="22"/>
          <w:szCs w:val="22"/>
        </w:rPr>
        <w:t xml:space="preserve">tent, processes, and assessment </w:t>
      </w:r>
      <w:r w:rsidRPr="00370682">
        <w:rPr>
          <w:rFonts w:ascii="Cambria" w:hAnsi="Cambria" w:cs="Calibri"/>
          <w:bCs/>
          <w:color w:val="000000"/>
          <w:sz w:val="22"/>
          <w:szCs w:val="22"/>
        </w:rPr>
        <w:t>so that each learner can study according to their individual needs and potential.</w:t>
      </w:r>
    </w:p>
    <w:p w14:paraId="4F6B2903" w14:textId="0B9D3436"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t xml:space="preserve">Experts widely regard the Merdeka Curriculum as a significant step in Indonesia’s educational transformation. Abdul Muti (2023) asserts that this curriculum promotes </w:t>
      </w:r>
      <w:r w:rsidRPr="00370682">
        <w:rPr>
          <w:rFonts w:ascii="Cambria" w:hAnsi="Cambria" w:cs="Calibri"/>
          <w:bCs/>
          <w:i/>
          <w:iCs/>
          <w:color w:val="000000"/>
          <w:sz w:val="22"/>
          <w:szCs w:val="22"/>
        </w:rPr>
        <w:t>deep learning</w:t>
      </w:r>
      <w:r w:rsidRPr="00370682">
        <w:rPr>
          <w:rFonts w:ascii="Cambria" w:hAnsi="Cambria" w:cs="Calibri"/>
          <w:bCs/>
          <w:color w:val="000000"/>
          <w:sz w:val="22"/>
          <w:szCs w:val="22"/>
        </w:rPr>
        <w:t>, allowing students to achieve meaningful conceptual understanding beyond mere memorization (Widagdo, 2024). Awwaliyah and Fatimah (2024) further argue that the curriculum’s flexible nature aligns with the principles of total quality management in education, as it creates space for schools to innovate according to their conditions and learners’ needs. With this orientation, the Merdeka Curriculum is perceived as a bridge between national policy and classroom practice, responding to the increasingly complex demands of the Fourth Industrial Revolution and Society 5.0.</w:t>
      </w:r>
    </w:p>
    <w:p w14:paraId="5D1132AD" w14:textId="77777777" w:rsidR="007947DC" w:rsidRPr="00370682" w:rsidRDefault="007947DC" w:rsidP="007947DC">
      <w:pPr>
        <w:pStyle w:val="NormalWeb"/>
        <w:shd w:val="clear" w:color="auto" w:fill="FFFFFF"/>
        <w:spacing w:after="240"/>
        <w:jc w:val="both"/>
        <w:rPr>
          <w:rFonts w:ascii="Cambria" w:hAnsi="Cambria" w:cs="Calibri"/>
          <w:b/>
          <w:bCs/>
          <w:color w:val="000000"/>
          <w:sz w:val="22"/>
          <w:szCs w:val="22"/>
        </w:rPr>
      </w:pPr>
      <w:r w:rsidRPr="00370682">
        <w:rPr>
          <w:rFonts w:ascii="Cambria" w:hAnsi="Cambria" w:cs="Calibri"/>
          <w:b/>
          <w:bCs/>
          <w:color w:val="000000"/>
          <w:sz w:val="22"/>
          <w:szCs w:val="22"/>
        </w:rPr>
        <w:t>Learning Models</w:t>
      </w:r>
    </w:p>
    <w:p w14:paraId="77D207D6" w14:textId="77777777"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t>Learning models can be understood as conceptual frameworks used by teachers to design, implement, and evaluate instructional processes (Arifin et al., 2024). Taliak (2021) emphasizes that learning models function as systematic guides that structure students’ learning experiences to ensure instructional objectives are effectively achieved. Within modern educational theory, learning models are viewed as pedagogical instruments that connect learning theories with classroom practice, focusing not only on knowledge transmission but also on the development of skills, attitudes, and character.</w:t>
      </w:r>
    </w:p>
    <w:p w14:paraId="06AA475B" w14:textId="0041AC87"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t>Rahman and Nurhadi (2021) highlight that the selection of appropriate learning models enables students to develop competencies more deeply. Therefore, learning models cannot be separated from the methods, strategies, and approaches used by teachers in the teaching process. Each model possesses distinct characteristics, strengths, and intended outcomes. Consequently, the success of learning depends heavily on aligning the chosen model with learners’ characteristics, expected learning outcomes, and the educational context in which instruction occurs.</w:t>
      </w:r>
    </w:p>
    <w:p w14:paraId="4D801D90" w14:textId="77777777" w:rsidR="007947DC" w:rsidRPr="00370682" w:rsidRDefault="007947DC" w:rsidP="007947DC">
      <w:pPr>
        <w:pStyle w:val="NormalWeb"/>
        <w:shd w:val="clear" w:color="auto" w:fill="FFFFFF"/>
        <w:spacing w:after="240"/>
        <w:jc w:val="both"/>
        <w:rPr>
          <w:rFonts w:ascii="Cambria" w:hAnsi="Cambria" w:cs="Calibri"/>
          <w:b/>
          <w:bCs/>
          <w:color w:val="000000"/>
          <w:sz w:val="22"/>
          <w:szCs w:val="22"/>
        </w:rPr>
      </w:pPr>
      <w:r w:rsidRPr="00370682">
        <w:rPr>
          <w:rFonts w:ascii="Cambria" w:hAnsi="Cambria" w:cs="Calibri"/>
          <w:b/>
          <w:bCs/>
          <w:color w:val="000000"/>
          <w:sz w:val="22"/>
          <w:szCs w:val="22"/>
        </w:rPr>
        <w:t>Student-Centered Learning (SCL)</w:t>
      </w:r>
    </w:p>
    <w:p w14:paraId="46FAFD4C" w14:textId="77777777"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t>The student-centered learning (SCL) paradigm emerges as a response to traditional instructional practices that position teachers as the primary authority in the classroom. This approach emphasizes learners as active participants in the learning process. Rogers (1983) describes SCL as a paradigm shift in which teachers act as facilitators who encourage learners to think critically, act independently, and engage reflectively in constructing knowledge. Kember (1997) echoes this view, asserting that SCL fosters exploration and active interaction between learners and their learning environment.</w:t>
      </w:r>
    </w:p>
    <w:p w14:paraId="54FF5087" w14:textId="5A6ABF58"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lastRenderedPageBreak/>
        <w:t>Harden and Crosby (2000) add that effective SCL implementation requires authentic learning activities that engage students in problem solving, conceptual application, and collaboration (Risana et al., 2025). This approach not only reduces teacher dominance but also builds learning environments that cultivate learner responsibility, autonomy, and social competence. Thus, in SCL, the teacher’s role shifts from information provider to facilitator who designs meaningful learning experiences through exploratory, reflective, and collaborative activities.</w:t>
      </w:r>
    </w:p>
    <w:p w14:paraId="61C137FD" w14:textId="77777777" w:rsidR="007947DC" w:rsidRPr="00370682" w:rsidRDefault="007947DC" w:rsidP="007947DC">
      <w:pPr>
        <w:pStyle w:val="NormalWeb"/>
        <w:shd w:val="clear" w:color="auto" w:fill="FFFFFF"/>
        <w:spacing w:after="240"/>
        <w:jc w:val="both"/>
        <w:rPr>
          <w:rFonts w:ascii="Cambria" w:hAnsi="Cambria" w:cs="Calibri"/>
          <w:b/>
          <w:bCs/>
          <w:color w:val="000000"/>
          <w:sz w:val="22"/>
          <w:szCs w:val="22"/>
        </w:rPr>
      </w:pPr>
      <w:r w:rsidRPr="00370682">
        <w:rPr>
          <w:rFonts w:ascii="Cambria" w:hAnsi="Cambria" w:cs="Calibri"/>
          <w:b/>
          <w:bCs/>
          <w:color w:val="000000"/>
          <w:sz w:val="22"/>
          <w:szCs w:val="22"/>
        </w:rPr>
        <w:t>Quality of Islamic Education</w:t>
      </w:r>
    </w:p>
    <w:p w14:paraId="4C8DC2CB" w14:textId="2E8224B1"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t>The quality of Islamic education refers to the extent to which educational practices achieve the spiritual, intellectual, and social goals mandated by Islamic values. Tilaar, as cited in Fachrudin (2021), emphasizes that educational quality is reflected in an institution’s ability to produce graduates who are competent, morally upright, and capable of meeting contemporary challenges. In Islamic education, quality indicators encompass not only academic achievement but also the successful internalization of faith, piety, and noble character.</w:t>
      </w:r>
      <w:r w:rsidR="00144596">
        <w:rPr>
          <w:rFonts w:ascii="Cambria" w:hAnsi="Cambria" w:cs="Calibri"/>
          <w:bCs/>
          <w:color w:val="000000"/>
          <w:sz w:val="22"/>
          <w:szCs w:val="22"/>
        </w:rPr>
        <w:t xml:space="preserve"> </w:t>
      </w:r>
      <w:r w:rsidR="00144596" w:rsidRPr="00144596">
        <w:rPr>
          <w:rFonts w:ascii="Cambria" w:hAnsi="Cambria" w:cs="Calibri"/>
          <w:bCs/>
          <w:color w:val="000000"/>
          <w:sz w:val="22"/>
          <w:szCs w:val="22"/>
        </w:rPr>
        <w:t>(Abdulghani &amp; Sya'ban, 2026)</w:t>
      </w:r>
    </w:p>
    <w:p w14:paraId="7576D66F" w14:textId="49BEC607" w:rsidR="007947DC" w:rsidRPr="00370682" w:rsidRDefault="007947DC" w:rsidP="007947DC">
      <w:pPr>
        <w:pStyle w:val="NormalWeb"/>
        <w:shd w:val="clear" w:color="auto" w:fill="FFFFFF"/>
        <w:spacing w:after="240"/>
        <w:ind w:firstLine="720"/>
        <w:jc w:val="both"/>
        <w:rPr>
          <w:rFonts w:ascii="Cambria" w:hAnsi="Cambria" w:cs="Calibri"/>
          <w:bCs/>
          <w:color w:val="000000"/>
          <w:sz w:val="22"/>
          <w:szCs w:val="22"/>
        </w:rPr>
      </w:pPr>
      <w:r w:rsidRPr="00370682">
        <w:rPr>
          <w:rFonts w:ascii="Cambria" w:hAnsi="Cambria" w:cs="Calibri"/>
          <w:bCs/>
          <w:color w:val="000000"/>
          <w:sz w:val="22"/>
          <w:szCs w:val="22"/>
        </w:rPr>
        <w:t>Sallis underscores the importance of continuous quality improvement through systematic management planning, ongoing evaluation, and stakeholder involvement (Wachid et al., 2024). Within Islamic education, quality enhancement involves strengthening the curriculum, improving teacher competence, and selecting learning strategies that align with students’ needs (Mubin et al., 2025). Consequently, the quality of Islamic education is not solely determined by curriculum structure or physical facilities but also by teachers’ effectiveness in creating learning environments that are conducive, innovative, and oriented toward Islamic character development</w:t>
      </w:r>
      <w:r w:rsidR="00144596">
        <w:rPr>
          <w:rFonts w:ascii="Cambria" w:hAnsi="Cambria" w:cs="Calibri"/>
          <w:bCs/>
          <w:color w:val="000000"/>
          <w:sz w:val="22"/>
          <w:szCs w:val="22"/>
        </w:rPr>
        <w:t xml:space="preserve">. </w:t>
      </w:r>
      <w:r w:rsidR="00144596" w:rsidRPr="00144596">
        <w:rPr>
          <w:rFonts w:ascii="Cambria" w:hAnsi="Cambria" w:cs="Calibri"/>
          <w:bCs/>
          <w:color w:val="000000"/>
          <w:sz w:val="22"/>
          <w:szCs w:val="22"/>
        </w:rPr>
        <w:t>(Permadi et al., 2026).</w:t>
      </w:r>
    </w:p>
    <w:p w14:paraId="29F33B8B" w14:textId="1FE6087F" w:rsidR="009146E3" w:rsidRPr="00370682" w:rsidRDefault="007947DC" w:rsidP="005D4B3B">
      <w:pPr>
        <w:pStyle w:val="HD-1"/>
        <w:spacing w:after="240" w:line="240" w:lineRule="auto"/>
        <w:rPr>
          <w:rFonts w:ascii="Cambria" w:hAnsi="Cambria" w:cs="Calibri"/>
        </w:rPr>
      </w:pPr>
      <w:r w:rsidRPr="00370682">
        <w:rPr>
          <w:rFonts w:ascii="Cambria" w:hAnsi="Cambria" w:cs="Calibri"/>
          <w:szCs w:val="24"/>
        </w:rPr>
        <w:t xml:space="preserve">Method </w:t>
      </w:r>
    </w:p>
    <w:p w14:paraId="388DAE1B" w14:textId="11D3BB26" w:rsidR="007947DC" w:rsidRPr="00370682" w:rsidRDefault="007947DC" w:rsidP="007947DC">
      <w:pPr>
        <w:spacing w:before="240"/>
        <w:ind w:firstLine="72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This article employs a library research method or literature study. This approach was selected because the focus of the study lies in conceptual and policy analysis rather than field-based data collection. A literature study allows the author to examine a wide range of relevant scholarly sources, including books, journal articles, research reports, policy documents, and official government regulations related to the Merdeka Curriculum. According to Sari et al. (2025), literature studies aim to develop a deeper understanding of a particular issue through theoretical exploration using credible academic references. Through this method, the analysis can be conducted systematically to identify how the Merdeka Curriculum is implemented within the paradigm of student-centered learning and its implications for the quality of Islamic education.</w:t>
      </w:r>
      <w:r w:rsidRPr="00370682">
        <w:rPr>
          <w:rFonts w:ascii="Cambria" w:hAnsi="Cambria" w:cs="Calibri"/>
          <w:color w:val="000000"/>
          <w:sz w:val="22"/>
          <w:szCs w:val="22"/>
          <w:shd w:val="clear" w:color="auto" w:fill="FFFFFF"/>
          <w:lang w:val="id-ID"/>
        </w:rPr>
        <w:t xml:space="preserve"> </w:t>
      </w:r>
      <w:r w:rsidRPr="00370682">
        <w:rPr>
          <w:rFonts w:ascii="Cambria" w:hAnsi="Cambria" w:cs="Calibri"/>
          <w:color w:val="000000"/>
          <w:sz w:val="22"/>
          <w:szCs w:val="22"/>
          <w:shd w:val="clear" w:color="auto" w:fill="FFFFFF"/>
        </w:rPr>
        <w:t>The research process was carried out in several stages:</w:t>
      </w:r>
    </w:p>
    <w:p w14:paraId="49D7CB48" w14:textId="526C2FCB" w:rsidR="007947DC" w:rsidRPr="00370682" w:rsidRDefault="007947DC" w:rsidP="007947DC">
      <w:pPr>
        <w:pStyle w:val="ListParagraph"/>
        <w:numPr>
          <w:ilvl w:val="0"/>
          <w:numId w:val="23"/>
        </w:numPr>
        <w:ind w:left="36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identifying the main themes related to the Merdeka Curriculum, student-centered learning, and the quality of Islamic education;</w:t>
      </w:r>
    </w:p>
    <w:p w14:paraId="3FC2E1F3" w14:textId="79AEDB3D" w:rsidR="007947DC" w:rsidRPr="00370682" w:rsidRDefault="007947DC" w:rsidP="007947DC">
      <w:pPr>
        <w:pStyle w:val="ListParagraph"/>
        <w:numPr>
          <w:ilvl w:val="0"/>
          <w:numId w:val="23"/>
        </w:numPr>
        <w:ind w:left="36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collecting relevant literature from national and international journal articles, academic books, and official policy documents;</w:t>
      </w:r>
    </w:p>
    <w:p w14:paraId="084BDA6B" w14:textId="62A1EE12" w:rsidR="007947DC" w:rsidRPr="00370682" w:rsidRDefault="007947DC" w:rsidP="007947DC">
      <w:pPr>
        <w:pStyle w:val="ListParagraph"/>
        <w:numPr>
          <w:ilvl w:val="0"/>
          <w:numId w:val="23"/>
        </w:numPr>
        <w:ind w:left="36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selecting and classifying data based on the focus of the study;</w:t>
      </w:r>
    </w:p>
    <w:p w14:paraId="0CA1ABA0" w14:textId="52E3C10D" w:rsidR="007947DC" w:rsidRPr="00370682" w:rsidRDefault="007947DC" w:rsidP="007947DC">
      <w:pPr>
        <w:pStyle w:val="ListParagraph"/>
        <w:numPr>
          <w:ilvl w:val="0"/>
          <w:numId w:val="23"/>
        </w:numPr>
        <w:ind w:left="36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(conducting content analysis of the collected references to identify recurring patterns, concepts, and significant findings;</w:t>
      </w:r>
    </w:p>
    <w:p w14:paraId="5169B41C" w14:textId="39719067" w:rsidR="007947DC" w:rsidRPr="00370682" w:rsidRDefault="007947DC" w:rsidP="007947DC">
      <w:pPr>
        <w:pStyle w:val="ListParagraph"/>
        <w:numPr>
          <w:ilvl w:val="0"/>
          <w:numId w:val="23"/>
        </w:numPr>
        <w:ind w:left="36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comparing and synthesizing information across sources; and</w:t>
      </w:r>
    </w:p>
    <w:p w14:paraId="1F67497F" w14:textId="54BD9416" w:rsidR="007947DC" w:rsidRPr="00370682" w:rsidRDefault="007947DC" w:rsidP="007947DC">
      <w:pPr>
        <w:pStyle w:val="ListParagraph"/>
        <w:numPr>
          <w:ilvl w:val="0"/>
          <w:numId w:val="23"/>
        </w:numPr>
        <w:ind w:left="36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organizing the results of the analysis into a structured academic narrative.</w:t>
      </w:r>
    </w:p>
    <w:p w14:paraId="6D53ECC2" w14:textId="366D0683" w:rsidR="007C29F0" w:rsidRPr="00370682" w:rsidRDefault="007947DC" w:rsidP="007947DC">
      <w:pPr>
        <w:spacing w:before="240" w:after="24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t>Through this procedure, the author was able to formulate conclusions grounded in valid and comprehensive data while offering analytical contributions regarding the effectiveness of the Merdeka Curriculum in promoting student-centered learning to enhance the quality of Islamic education</w:t>
      </w:r>
      <w:r w:rsidR="007C29F0" w:rsidRPr="00370682">
        <w:rPr>
          <w:rFonts w:ascii="Cambria" w:hAnsi="Cambria" w:cs="Calibri"/>
          <w:color w:val="000000"/>
          <w:sz w:val="22"/>
          <w:szCs w:val="22"/>
          <w:shd w:val="clear" w:color="auto" w:fill="FFFFFF"/>
        </w:rPr>
        <w:t>.</w:t>
      </w:r>
    </w:p>
    <w:p w14:paraId="7A1D472A" w14:textId="306314A6" w:rsidR="009146E3" w:rsidRPr="00370682" w:rsidRDefault="00DB7484" w:rsidP="005D4B3B">
      <w:pPr>
        <w:pStyle w:val="HD-1"/>
        <w:spacing w:after="240" w:line="240" w:lineRule="auto"/>
        <w:rPr>
          <w:rFonts w:ascii="Cambria" w:hAnsi="Cambria" w:cs="Calibri"/>
        </w:rPr>
      </w:pPr>
      <w:r w:rsidRPr="00370682">
        <w:rPr>
          <w:rFonts w:ascii="Cambria" w:hAnsi="Cambria" w:cs="Calibri"/>
        </w:rPr>
        <w:lastRenderedPageBreak/>
        <w:t>Result</w:t>
      </w:r>
    </w:p>
    <w:p w14:paraId="0C55C368" w14:textId="0E00939C" w:rsidR="00B91EF5" w:rsidRPr="00370682" w:rsidRDefault="00B91EF5" w:rsidP="00B91EF5">
      <w:pPr>
        <w:ind w:firstLine="720"/>
        <w:jc w:val="both"/>
        <w:rPr>
          <w:rFonts w:ascii="Cambria" w:hAnsi="Cambria" w:cs="Calibri"/>
          <w:bCs/>
          <w:sz w:val="22"/>
          <w:szCs w:val="22"/>
          <w:lang w:eastAsia="zh-CN"/>
        </w:rPr>
      </w:pPr>
      <w:r w:rsidRPr="00370682">
        <w:rPr>
          <w:rFonts w:ascii="Cambria" w:hAnsi="Cambria" w:cs="Calibri"/>
          <w:bCs/>
          <w:sz w:val="22"/>
          <w:szCs w:val="22"/>
          <w:lang w:eastAsia="zh-CN"/>
        </w:rPr>
        <w:t>Based on the literature review, there is a consistent pattern indicating that the implementation of the Merdeka Curriculum and its derivative strategies has produced positive effects on various dimensions of twenty-first-century skills.</w:t>
      </w:r>
    </w:p>
    <w:p w14:paraId="29F44297" w14:textId="4E6B58EB" w:rsidR="005A2316" w:rsidRPr="00370682" w:rsidRDefault="00B91EF5" w:rsidP="00F10C06">
      <w:pPr>
        <w:ind w:firstLine="720"/>
        <w:jc w:val="center"/>
        <w:rPr>
          <w:rFonts w:ascii="Cambria" w:hAnsi="Cambria" w:cs="Calibri"/>
          <w:b/>
          <w:bCs/>
          <w:sz w:val="22"/>
          <w:szCs w:val="22"/>
          <w:lang w:val="id-ID" w:eastAsia="zh-CN"/>
        </w:rPr>
      </w:pPr>
      <w:r w:rsidRPr="00370682">
        <w:rPr>
          <w:rFonts w:ascii="Cambria" w:hAnsi="Cambria" w:cs="Calibri"/>
          <w:b/>
          <w:bCs/>
          <w:sz w:val="22"/>
          <w:szCs w:val="22"/>
          <w:lang w:eastAsia="zh-CN"/>
        </w:rPr>
        <w:t>Table 1. Effects of the Merdeka Curriculum on Student-Centered Learning</w:t>
      </w:r>
    </w:p>
    <w:tbl>
      <w:tblPr>
        <w:tblStyle w:val="Mdeck5tablebodythreelines"/>
        <w:tblW w:w="0" w:type="auto"/>
        <w:jc w:val="left"/>
        <w:tblLook w:val="04A0" w:firstRow="1" w:lastRow="0" w:firstColumn="1" w:lastColumn="0" w:noHBand="0" w:noVBand="1"/>
      </w:tblPr>
      <w:tblGrid>
        <w:gridCol w:w="529"/>
        <w:gridCol w:w="1926"/>
        <w:gridCol w:w="2705"/>
        <w:gridCol w:w="3628"/>
      </w:tblGrid>
      <w:tr w:rsidR="00B91EF5" w:rsidRPr="00370682" w14:paraId="37615058" w14:textId="77777777" w:rsidTr="00B91EF5">
        <w:trPr>
          <w:cnfStyle w:val="100000000000" w:firstRow="1" w:lastRow="0" w:firstColumn="0" w:lastColumn="0" w:oddVBand="0" w:evenVBand="0" w:oddHBand="0" w:evenHBand="0" w:firstRowFirstColumn="0" w:firstRowLastColumn="0" w:lastRowFirstColumn="0" w:lastRowLastColumn="0"/>
          <w:jc w:val="left"/>
        </w:trPr>
        <w:tc>
          <w:tcPr>
            <w:tcW w:w="0" w:type="auto"/>
            <w:hideMark/>
          </w:tcPr>
          <w:p w14:paraId="71CBA1EA" w14:textId="77777777" w:rsidR="00B91EF5" w:rsidRPr="00370682" w:rsidRDefault="00B91EF5" w:rsidP="00B91EF5">
            <w:pPr>
              <w:spacing w:line="240" w:lineRule="auto"/>
              <w:rPr>
                <w:rFonts w:ascii="Cambria" w:hAnsi="Cambria" w:cs="Calibri"/>
                <w:bCs/>
                <w:szCs w:val="22"/>
              </w:rPr>
            </w:pPr>
            <w:r w:rsidRPr="00370682">
              <w:rPr>
                <w:rFonts w:ascii="Cambria" w:hAnsi="Cambria" w:cs="Calibri"/>
                <w:bCs/>
                <w:szCs w:val="22"/>
              </w:rPr>
              <w:t>No.</w:t>
            </w:r>
          </w:p>
        </w:tc>
        <w:tc>
          <w:tcPr>
            <w:tcW w:w="0" w:type="auto"/>
            <w:hideMark/>
          </w:tcPr>
          <w:p w14:paraId="2C0F7DE1" w14:textId="77777777" w:rsidR="00B91EF5" w:rsidRPr="00370682" w:rsidRDefault="00B91EF5" w:rsidP="00B91EF5">
            <w:pPr>
              <w:spacing w:line="240" w:lineRule="auto"/>
              <w:rPr>
                <w:rFonts w:ascii="Cambria" w:hAnsi="Cambria" w:cs="Calibri"/>
                <w:bCs/>
                <w:szCs w:val="22"/>
              </w:rPr>
            </w:pPr>
            <w:r w:rsidRPr="00370682">
              <w:rPr>
                <w:rFonts w:ascii="Cambria" w:hAnsi="Cambria" w:cs="Calibri"/>
                <w:bCs/>
                <w:szCs w:val="22"/>
              </w:rPr>
              <w:t>Reference</w:t>
            </w:r>
          </w:p>
        </w:tc>
        <w:tc>
          <w:tcPr>
            <w:tcW w:w="0" w:type="auto"/>
            <w:hideMark/>
          </w:tcPr>
          <w:p w14:paraId="695CDB8E" w14:textId="77777777" w:rsidR="00B91EF5" w:rsidRPr="00370682" w:rsidRDefault="00B91EF5" w:rsidP="00B91EF5">
            <w:pPr>
              <w:rPr>
                <w:rFonts w:ascii="Cambria" w:hAnsi="Cambria" w:cs="Calibri"/>
                <w:bCs/>
                <w:szCs w:val="22"/>
              </w:rPr>
            </w:pPr>
            <w:r w:rsidRPr="00370682">
              <w:rPr>
                <w:rFonts w:ascii="Cambria" w:hAnsi="Cambria" w:cs="Calibri"/>
                <w:bCs/>
                <w:szCs w:val="22"/>
              </w:rPr>
              <w:t>Research Focus</w:t>
            </w:r>
          </w:p>
        </w:tc>
        <w:tc>
          <w:tcPr>
            <w:tcW w:w="0" w:type="auto"/>
            <w:hideMark/>
          </w:tcPr>
          <w:p w14:paraId="2A5FC6FB" w14:textId="77777777" w:rsidR="00B91EF5" w:rsidRPr="00370682" w:rsidRDefault="00B91EF5" w:rsidP="00B91EF5">
            <w:pPr>
              <w:rPr>
                <w:rFonts w:ascii="Cambria" w:hAnsi="Cambria" w:cs="Calibri"/>
                <w:bCs/>
                <w:szCs w:val="22"/>
              </w:rPr>
            </w:pPr>
            <w:r w:rsidRPr="00370682">
              <w:rPr>
                <w:rFonts w:ascii="Cambria" w:hAnsi="Cambria" w:cs="Calibri"/>
                <w:bCs/>
                <w:szCs w:val="22"/>
              </w:rPr>
              <w:t>Key Findings</w:t>
            </w:r>
          </w:p>
        </w:tc>
      </w:tr>
      <w:tr w:rsidR="00B91EF5" w:rsidRPr="00370682" w14:paraId="4A8AC175" w14:textId="77777777" w:rsidTr="00B91EF5">
        <w:trPr>
          <w:jc w:val="left"/>
        </w:trPr>
        <w:tc>
          <w:tcPr>
            <w:tcW w:w="0" w:type="auto"/>
            <w:hideMark/>
          </w:tcPr>
          <w:p w14:paraId="2B540C8C"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1</w:t>
            </w:r>
          </w:p>
        </w:tc>
        <w:tc>
          <w:tcPr>
            <w:tcW w:w="0" w:type="auto"/>
            <w:hideMark/>
          </w:tcPr>
          <w:p w14:paraId="527222C3" w14:textId="77777777" w:rsidR="00B91EF5" w:rsidRPr="00370682" w:rsidRDefault="00B91EF5" w:rsidP="003C7E08">
            <w:pPr>
              <w:spacing w:line="240" w:lineRule="auto"/>
              <w:jc w:val="both"/>
              <w:rPr>
                <w:rFonts w:ascii="Cambria" w:hAnsi="Cambria" w:cs="Calibri"/>
                <w:sz w:val="22"/>
                <w:szCs w:val="22"/>
                <w:lang w:val="fi-FI"/>
              </w:rPr>
            </w:pPr>
            <w:r w:rsidRPr="00370682">
              <w:rPr>
                <w:rFonts w:ascii="Cambria" w:hAnsi="Cambria" w:cs="Calibri"/>
                <w:sz w:val="22"/>
                <w:szCs w:val="22"/>
                <w:lang w:val="fi-FI"/>
              </w:rPr>
              <w:t>Talaen, Y. D., Ardan, A. S., Yusnaeni, &amp; Tokan, M. K. (2025)</w:t>
            </w:r>
          </w:p>
        </w:tc>
        <w:tc>
          <w:tcPr>
            <w:tcW w:w="0" w:type="auto"/>
            <w:hideMark/>
          </w:tcPr>
          <w:p w14:paraId="7FAC6CC0"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SLR on Merdeka Curriculum &amp; 4C (Senior High School)</w:t>
            </w:r>
          </w:p>
        </w:tc>
        <w:tc>
          <w:tcPr>
            <w:tcW w:w="0" w:type="auto"/>
            <w:hideMark/>
          </w:tcPr>
          <w:p w14:paraId="14D500C2"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Communication, collaboration, and creativity improved; critical thinking requires more targeted strategies.</w:t>
            </w:r>
          </w:p>
        </w:tc>
      </w:tr>
      <w:tr w:rsidR="00B91EF5" w:rsidRPr="00370682" w14:paraId="5114B982" w14:textId="77777777" w:rsidTr="00B91EF5">
        <w:trPr>
          <w:jc w:val="left"/>
        </w:trPr>
        <w:tc>
          <w:tcPr>
            <w:tcW w:w="0" w:type="auto"/>
            <w:hideMark/>
          </w:tcPr>
          <w:p w14:paraId="482C7B12"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2</w:t>
            </w:r>
          </w:p>
        </w:tc>
        <w:tc>
          <w:tcPr>
            <w:tcW w:w="0" w:type="auto"/>
            <w:hideMark/>
          </w:tcPr>
          <w:p w14:paraId="6D7A4C02" w14:textId="77777777" w:rsidR="00B91EF5" w:rsidRPr="00370682" w:rsidRDefault="00B91EF5" w:rsidP="003C7E08">
            <w:pPr>
              <w:spacing w:line="240" w:lineRule="auto"/>
              <w:jc w:val="both"/>
              <w:rPr>
                <w:rFonts w:ascii="Cambria" w:hAnsi="Cambria" w:cs="Calibri"/>
                <w:sz w:val="22"/>
                <w:szCs w:val="22"/>
                <w:lang w:val="fi-FI"/>
              </w:rPr>
            </w:pPr>
            <w:r w:rsidRPr="00370682">
              <w:rPr>
                <w:rFonts w:ascii="Cambria" w:hAnsi="Cambria" w:cs="Calibri"/>
                <w:sz w:val="22"/>
                <w:szCs w:val="22"/>
                <w:lang w:val="fi-FI"/>
              </w:rPr>
              <w:t>Lestari, R. V. A., &amp; Hindun, H. (2024)</w:t>
            </w:r>
          </w:p>
        </w:tc>
        <w:tc>
          <w:tcPr>
            <w:tcW w:w="0" w:type="auto"/>
            <w:hideMark/>
          </w:tcPr>
          <w:p w14:paraId="07C2ED34"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Implementation of 4C in Merdeka Curriculum at the Senior High School level</w:t>
            </w:r>
          </w:p>
        </w:tc>
        <w:tc>
          <w:tcPr>
            <w:tcW w:w="0" w:type="auto"/>
            <w:hideMark/>
          </w:tcPr>
          <w:p w14:paraId="5C129CC3"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Qualitative analysis: implementation of the 4C (communication, collaboration, critical thinking, creativity), including its benefits and challenges.</w:t>
            </w:r>
          </w:p>
        </w:tc>
      </w:tr>
      <w:tr w:rsidR="00B91EF5" w:rsidRPr="00370682" w14:paraId="6E4C3B8B" w14:textId="77777777" w:rsidTr="00B91EF5">
        <w:trPr>
          <w:jc w:val="left"/>
        </w:trPr>
        <w:tc>
          <w:tcPr>
            <w:tcW w:w="0" w:type="auto"/>
            <w:hideMark/>
          </w:tcPr>
          <w:p w14:paraId="231D93CF"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3</w:t>
            </w:r>
          </w:p>
        </w:tc>
        <w:tc>
          <w:tcPr>
            <w:tcW w:w="0" w:type="auto"/>
            <w:hideMark/>
          </w:tcPr>
          <w:p w14:paraId="40BC2F09" w14:textId="77777777" w:rsidR="00B91EF5" w:rsidRPr="00370682" w:rsidRDefault="00B91EF5" w:rsidP="003C7E08">
            <w:pPr>
              <w:spacing w:line="240" w:lineRule="auto"/>
              <w:jc w:val="both"/>
              <w:rPr>
                <w:rFonts w:ascii="Cambria" w:hAnsi="Cambria" w:cs="Calibri"/>
                <w:sz w:val="22"/>
                <w:szCs w:val="22"/>
              </w:rPr>
            </w:pPr>
            <w:r w:rsidRPr="00370682">
              <w:rPr>
                <w:rFonts w:ascii="Cambria" w:hAnsi="Cambria" w:cs="Calibri"/>
                <w:sz w:val="22"/>
                <w:szCs w:val="22"/>
              </w:rPr>
              <w:t>Hidayat, R. K., Novianti, B. A., &amp; Subki, S. (2023)</w:t>
            </w:r>
          </w:p>
        </w:tc>
        <w:tc>
          <w:tcPr>
            <w:tcW w:w="0" w:type="auto"/>
            <w:hideMark/>
          </w:tcPr>
          <w:p w14:paraId="0E654703"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Creativity in the Merdeka Curriculum (PjBL)</w:t>
            </w:r>
          </w:p>
        </w:tc>
        <w:tc>
          <w:tcPr>
            <w:tcW w:w="0" w:type="auto"/>
            <w:hideMark/>
          </w:tcPr>
          <w:p w14:paraId="5E61F04A"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Students' creative thinking skills improved through Project-Based Learning aligned with the Merdeka Curriculum.</w:t>
            </w:r>
          </w:p>
        </w:tc>
      </w:tr>
      <w:tr w:rsidR="00B91EF5" w:rsidRPr="00370682" w14:paraId="45E416AC" w14:textId="77777777" w:rsidTr="00B91EF5">
        <w:trPr>
          <w:jc w:val="left"/>
        </w:trPr>
        <w:tc>
          <w:tcPr>
            <w:tcW w:w="0" w:type="auto"/>
            <w:hideMark/>
          </w:tcPr>
          <w:p w14:paraId="7D953C94"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4</w:t>
            </w:r>
          </w:p>
        </w:tc>
        <w:tc>
          <w:tcPr>
            <w:tcW w:w="0" w:type="auto"/>
            <w:hideMark/>
          </w:tcPr>
          <w:p w14:paraId="6141E7FC" w14:textId="77777777" w:rsidR="00B91EF5" w:rsidRPr="00370682" w:rsidRDefault="00B91EF5" w:rsidP="003C7E08">
            <w:pPr>
              <w:spacing w:line="240" w:lineRule="auto"/>
              <w:jc w:val="both"/>
              <w:rPr>
                <w:rFonts w:ascii="Cambria" w:hAnsi="Cambria" w:cs="Calibri"/>
                <w:sz w:val="22"/>
                <w:szCs w:val="22"/>
                <w:lang w:val="fi-FI"/>
              </w:rPr>
            </w:pPr>
            <w:r w:rsidRPr="00370682">
              <w:rPr>
                <w:rFonts w:ascii="Cambria" w:hAnsi="Cambria" w:cs="Calibri"/>
                <w:sz w:val="22"/>
                <w:szCs w:val="22"/>
                <w:lang w:val="fi-FI"/>
              </w:rPr>
              <w:t>Wicaksana, E. J., &amp; Sanjaya, M. E. (2022)</w:t>
            </w:r>
          </w:p>
        </w:tc>
        <w:tc>
          <w:tcPr>
            <w:tcW w:w="0" w:type="auto"/>
            <w:hideMark/>
          </w:tcPr>
          <w:p w14:paraId="386D8FE1"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 in the Merdeka Belajar era, creativity &amp; scientific attitude</w:t>
            </w:r>
          </w:p>
        </w:tc>
        <w:tc>
          <w:tcPr>
            <w:tcW w:w="0" w:type="auto"/>
            <w:hideMark/>
          </w:tcPr>
          <w:p w14:paraId="5E3582B4"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 enhanced students' creativity and scientific attitudes at the university level.</w:t>
            </w:r>
          </w:p>
        </w:tc>
      </w:tr>
      <w:tr w:rsidR="00B91EF5" w:rsidRPr="00370682" w14:paraId="26A276D7" w14:textId="77777777" w:rsidTr="00B91EF5">
        <w:trPr>
          <w:jc w:val="left"/>
        </w:trPr>
        <w:tc>
          <w:tcPr>
            <w:tcW w:w="0" w:type="auto"/>
            <w:hideMark/>
          </w:tcPr>
          <w:p w14:paraId="5A4691CF"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5</w:t>
            </w:r>
          </w:p>
        </w:tc>
        <w:tc>
          <w:tcPr>
            <w:tcW w:w="0" w:type="auto"/>
            <w:hideMark/>
          </w:tcPr>
          <w:p w14:paraId="60549D6C" w14:textId="77777777" w:rsidR="00B91EF5" w:rsidRPr="00370682" w:rsidRDefault="00B91EF5" w:rsidP="003C7E08">
            <w:pPr>
              <w:spacing w:line="240" w:lineRule="auto"/>
              <w:jc w:val="both"/>
              <w:rPr>
                <w:rFonts w:ascii="Cambria" w:hAnsi="Cambria" w:cs="Calibri"/>
                <w:sz w:val="22"/>
                <w:szCs w:val="22"/>
              </w:rPr>
            </w:pPr>
            <w:r w:rsidRPr="00370682">
              <w:rPr>
                <w:rFonts w:ascii="Cambria" w:hAnsi="Cambria" w:cs="Calibri"/>
                <w:sz w:val="22"/>
                <w:szCs w:val="22"/>
              </w:rPr>
              <w:t>Prabowo, G., &amp; Khaudli, M. I. (2024)</w:t>
            </w:r>
          </w:p>
        </w:tc>
        <w:tc>
          <w:tcPr>
            <w:tcW w:w="0" w:type="auto"/>
            <w:hideMark/>
          </w:tcPr>
          <w:p w14:paraId="29280F4E"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 + Merdeka Curriculum → Critical Thinking (Senior High School)</w:t>
            </w:r>
          </w:p>
        </w:tc>
        <w:tc>
          <w:tcPr>
            <w:tcW w:w="0" w:type="auto"/>
            <w:hideMark/>
          </w:tcPr>
          <w:p w14:paraId="00DFD95D"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 under the Merdeka Curriculum significantly improved students' critical thinking skills.</w:t>
            </w:r>
          </w:p>
        </w:tc>
      </w:tr>
      <w:tr w:rsidR="00B91EF5" w:rsidRPr="00370682" w14:paraId="562869FD" w14:textId="77777777" w:rsidTr="00B91EF5">
        <w:trPr>
          <w:jc w:val="left"/>
        </w:trPr>
        <w:tc>
          <w:tcPr>
            <w:tcW w:w="0" w:type="auto"/>
            <w:hideMark/>
          </w:tcPr>
          <w:p w14:paraId="41B5D678"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6</w:t>
            </w:r>
          </w:p>
        </w:tc>
        <w:tc>
          <w:tcPr>
            <w:tcW w:w="0" w:type="auto"/>
            <w:hideMark/>
          </w:tcPr>
          <w:p w14:paraId="77F1A00E" w14:textId="77777777" w:rsidR="00B91EF5" w:rsidRPr="00370682" w:rsidRDefault="00B91EF5" w:rsidP="003C7E08">
            <w:pPr>
              <w:spacing w:line="240" w:lineRule="auto"/>
              <w:jc w:val="both"/>
              <w:rPr>
                <w:rFonts w:ascii="Cambria" w:hAnsi="Cambria" w:cs="Calibri"/>
                <w:sz w:val="22"/>
                <w:szCs w:val="22"/>
              </w:rPr>
            </w:pPr>
            <w:r w:rsidRPr="00370682">
              <w:rPr>
                <w:rFonts w:ascii="Cambria" w:hAnsi="Cambria" w:cs="Calibri"/>
                <w:sz w:val="22"/>
                <w:szCs w:val="22"/>
              </w:rPr>
              <w:t>Suyanto, S. (2023)</w:t>
            </w:r>
          </w:p>
        </w:tc>
        <w:tc>
          <w:tcPr>
            <w:tcW w:w="0" w:type="auto"/>
            <w:hideMark/>
          </w:tcPr>
          <w:p w14:paraId="0B96352C"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PjBL-STEM + cryptography → 4C</w:t>
            </w:r>
          </w:p>
        </w:tc>
        <w:tc>
          <w:tcPr>
            <w:tcW w:w="0" w:type="auto"/>
            <w:hideMark/>
          </w:tcPr>
          <w:p w14:paraId="1C8284AC"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PjBL-STEM integrating cryptography increased students' collaboration, critical thinking, creativity, and communication.</w:t>
            </w:r>
          </w:p>
        </w:tc>
      </w:tr>
      <w:tr w:rsidR="00B91EF5" w:rsidRPr="00370682" w14:paraId="07928FB6" w14:textId="77777777" w:rsidTr="00B91EF5">
        <w:trPr>
          <w:jc w:val="left"/>
        </w:trPr>
        <w:tc>
          <w:tcPr>
            <w:tcW w:w="0" w:type="auto"/>
            <w:hideMark/>
          </w:tcPr>
          <w:p w14:paraId="6776EEE4"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7</w:t>
            </w:r>
          </w:p>
        </w:tc>
        <w:tc>
          <w:tcPr>
            <w:tcW w:w="0" w:type="auto"/>
            <w:hideMark/>
          </w:tcPr>
          <w:p w14:paraId="58B794D1" w14:textId="77777777" w:rsidR="00B91EF5" w:rsidRPr="00370682" w:rsidRDefault="00B91EF5" w:rsidP="003C7E08">
            <w:pPr>
              <w:spacing w:line="240" w:lineRule="auto"/>
              <w:jc w:val="both"/>
              <w:rPr>
                <w:rFonts w:ascii="Cambria" w:hAnsi="Cambria" w:cs="Calibri"/>
                <w:sz w:val="22"/>
                <w:szCs w:val="22"/>
              </w:rPr>
            </w:pPr>
            <w:r w:rsidRPr="00370682">
              <w:rPr>
                <w:rFonts w:ascii="Cambria" w:hAnsi="Cambria" w:cs="Calibri"/>
                <w:sz w:val="22"/>
                <w:szCs w:val="22"/>
              </w:rPr>
              <w:t>Waruwu, L. (2024)</w:t>
            </w:r>
          </w:p>
        </w:tc>
        <w:tc>
          <w:tcPr>
            <w:tcW w:w="0" w:type="auto"/>
            <w:hideMark/>
          </w:tcPr>
          <w:p w14:paraId="15D4F6A9"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Changes in critical-thinking skills through the Merdeka Curriculum</w:t>
            </w:r>
          </w:p>
        </w:tc>
        <w:tc>
          <w:tcPr>
            <w:tcW w:w="0" w:type="auto"/>
            <w:hideMark/>
          </w:tcPr>
          <w:p w14:paraId="260777FB"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Implementation of the Merdeka Curriculum contributed substantially to students' critical-thinking development.</w:t>
            </w:r>
          </w:p>
        </w:tc>
      </w:tr>
      <w:tr w:rsidR="00B91EF5" w:rsidRPr="00370682" w14:paraId="1A077969" w14:textId="77777777" w:rsidTr="00B91EF5">
        <w:trPr>
          <w:jc w:val="left"/>
        </w:trPr>
        <w:tc>
          <w:tcPr>
            <w:tcW w:w="0" w:type="auto"/>
            <w:hideMark/>
          </w:tcPr>
          <w:p w14:paraId="1C9FDD16"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8</w:t>
            </w:r>
          </w:p>
        </w:tc>
        <w:tc>
          <w:tcPr>
            <w:tcW w:w="0" w:type="auto"/>
            <w:hideMark/>
          </w:tcPr>
          <w:p w14:paraId="3BF14FA9" w14:textId="77777777" w:rsidR="00B91EF5" w:rsidRPr="00370682" w:rsidRDefault="00B91EF5" w:rsidP="003C7E08">
            <w:pPr>
              <w:spacing w:line="240" w:lineRule="auto"/>
              <w:jc w:val="both"/>
              <w:rPr>
                <w:rFonts w:ascii="Cambria" w:hAnsi="Cambria" w:cs="Calibri"/>
                <w:sz w:val="22"/>
                <w:szCs w:val="22"/>
              </w:rPr>
            </w:pPr>
            <w:r w:rsidRPr="00370682">
              <w:rPr>
                <w:rFonts w:ascii="Cambria" w:hAnsi="Cambria" w:cs="Calibri"/>
                <w:sz w:val="22"/>
                <w:szCs w:val="22"/>
              </w:rPr>
              <w:t>Permana, G., et al. (2023)</w:t>
            </w:r>
          </w:p>
        </w:tc>
        <w:tc>
          <w:tcPr>
            <w:tcW w:w="0" w:type="auto"/>
            <w:hideMark/>
          </w:tcPr>
          <w:p w14:paraId="3389E8DA"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Curriculum implementation &amp; Merdeka teaching tools → creativity &amp; problem solving</w:t>
            </w:r>
          </w:p>
        </w:tc>
        <w:tc>
          <w:tcPr>
            <w:tcW w:w="0" w:type="auto"/>
            <w:hideMark/>
          </w:tcPr>
          <w:p w14:paraId="4CB6C099"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The Merdeka Curriculum and open teaching resources supported creativity, problem solving, critical thinking, and collaboration.</w:t>
            </w:r>
          </w:p>
        </w:tc>
      </w:tr>
      <w:tr w:rsidR="00B91EF5" w:rsidRPr="00370682" w14:paraId="127FA46F" w14:textId="77777777" w:rsidTr="00B91EF5">
        <w:trPr>
          <w:jc w:val="left"/>
        </w:trPr>
        <w:tc>
          <w:tcPr>
            <w:tcW w:w="0" w:type="auto"/>
            <w:hideMark/>
          </w:tcPr>
          <w:p w14:paraId="2BC98417"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9</w:t>
            </w:r>
          </w:p>
        </w:tc>
        <w:tc>
          <w:tcPr>
            <w:tcW w:w="0" w:type="auto"/>
            <w:hideMark/>
          </w:tcPr>
          <w:p w14:paraId="6CDD431D" w14:textId="77777777" w:rsidR="00B91EF5" w:rsidRPr="00370682" w:rsidRDefault="00B91EF5" w:rsidP="003C7E08">
            <w:pPr>
              <w:spacing w:line="240" w:lineRule="auto"/>
              <w:jc w:val="both"/>
              <w:rPr>
                <w:rFonts w:ascii="Cambria" w:hAnsi="Cambria" w:cs="Calibri"/>
                <w:sz w:val="22"/>
                <w:szCs w:val="22"/>
              </w:rPr>
            </w:pPr>
            <w:r w:rsidRPr="00370682">
              <w:rPr>
                <w:rFonts w:ascii="Cambria" w:hAnsi="Cambria" w:cs="Calibri"/>
                <w:sz w:val="22"/>
                <w:szCs w:val="22"/>
              </w:rPr>
              <w:t>Yuliana, Y. (2024)</w:t>
            </w:r>
          </w:p>
        </w:tc>
        <w:tc>
          <w:tcPr>
            <w:tcW w:w="0" w:type="auto"/>
            <w:hideMark/>
          </w:tcPr>
          <w:p w14:paraId="7F64AACA"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 innovation in the Merdeka Curriculum → creativity &amp; critical thinking</w:t>
            </w:r>
          </w:p>
        </w:tc>
        <w:tc>
          <w:tcPr>
            <w:tcW w:w="0" w:type="auto"/>
            <w:hideMark/>
          </w:tcPr>
          <w:p w14:paraId="53F8FFF1"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PjBL innovations enhanced elementary students' creative and critical-thinking skills.</w:t>
            </w:r>
          </w:p>
        </w:tc>
      </w:tr>
      <w:tr w:rsidR="00B91EF5" w:rsidRPr="00370682" w14:paraId="6C6418C9" w14:textId="77777777" w:rsidTr="00B91EF5">
        <w:trPr>
          <w:jc w:val="left"/>
        </w:trPr>
        <w:tc>
          <w:tcPr>
            <w:tcW w:w="0" w:type="auto"/>
            <w:hideMark/>
          </w:tcPr>
          <w:p w14:paraId="45D3EEAC" w14:textId="77777777" w:rsidR="00B91EF5" w:rsidRPr="00370682" w:rsidRDefault="00B91EF5" w:rsidP="00B91EF5">
            <w:pPr>
              <w:spacing w:line="240" w:lineRule="auto"/>
              <w:rPr>
                <w:rFonts w:ascii="Cambria" w:hAnsi="Cambria" w:cs="Calibri"/>
                <w:sz w:val="22"/>
                <w:szCs w:val="22"/>
              </w:rPr>
            </w:pPr>
            <w:r w:rsidRPr="00370682">
              <w:rPr>
                <w:rFonts w:ascii="Cambria" w:hAnsi="Cambria" w:cs="Calibri"/>
                <w:sz w:val="22"/>
                <w:szCs w:val="22"/>
              </w:rPr>
              <w:t>10</w:t>
            </w:r>
          </w:p>
        </w:tc>
        <w:tc>
          <w:tcPr>
            <w:tcW w:w="0" w:type="auto"/>
            <w:hideMark/>
          </w:tcPr>
          <w:p w14:paraId="6E7806BC" w14:textId="77777777" w:rsidR="00B91EF5" w:rsidRPr="00370682" w:rsidRDefault="00B91EF5" w:rsidP="003C7E08">
            <w:pPr>
              <w:spacing w:line="240" w:lineRule="auto"/>
              <w:jc w:val="both"/>
              <w:rPr>
                <w:rFonts w:ascii="Cambria" w:hAnsi="Cambria" w:cs="Calibri"/>
                <w:sz w:val="22"/>
                <w:szCs w:val="22"/>
              </w:rPr>
            </w:pPr>
            <w:r w:rsidRPr="00370682">
              <w:rPr>
                <w:rFonts w:ascii="Cambria" w:hAnsi="Cambria" w:cs="Calibri"/>
                <w:sz w:val="22"/>
                <w:szCs w:val="22"/>
              </w:rPr>
              <w:t>Arum, V. P. (2025)</w:t>
            </w:r>
          </w:p>
        </w:tc>
        <w:tc>
          <w:tcPr>
            <w:tcW w:w="0" w:type="auto"/>
            <w:hideMark/>
          </w:tcPr>
          <w:p w14:paraId="0DA75ABA"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English-language teaching in the Merdeka Curriculum → 4C</w:t>
            </w:r>
          </w:p>
        </w:tc>
        <w:tc>
          <w:tcPr>
            <w:tcW w:w="0" w:type="auto"/>
            <w:hideMark/>
          </w:tcPr>
          <w:p w14:paraId="685051EE" w14:textId="77777777" w:rsidR="00B91EF5" w:rsidRPr="00370682" w:rsidRDefault="00B91EF5" w:rsidP="00B91EF5">
            <w:pPr>
              <w:spacing w:line="240" w:lineRule="auto"/>
              <w:jc w:val="both"/>
              <w:rPr>
                <w:rFonts w:ascii="Cambria" w:hAnsi="Cambria" w:cs="Calibri"/>
                <w:sz w:val="22"/>
                <w:szCs w:val="22"/>
              </w:rPr>
            </w:pPr>
            <w:r w:rsidRPr="00370682">
              <w:rPr>
                <w:rFonts w:ascii="Cambria" w:hAnsi="Cambria" w:cs="Calibri"/>
                <w:sz w:val="22"/>
                <w:szCs w:val="22"/>
              </w:rPr>
              <w:t>Integration of the 4C (critical thinking, communication, collaboration, creativity) into English-language instruction under the Merdeka Curriculum.</w:t>
            </w:r>
          </w:p>
        </w:tc>
      </w:tr>
    </w:tbl>
    <w:p w14:paraId="721C2E8A" w14:textId="77777777" w:rsidR="00C30542" w:rsidRPr="00370682" w:rsidRDefault="00C30542" w:rsidP="00F10C06">
      <w:pPr>
        <w:ind w:firstLine="720"/>
        <w:jc w:val="center"/>
        <w:rPr>
          <w:rFonts w:ascii="Cambria" w:hAnsi="Cambria" w:cs="Calibri"/>
          <w:b/>
          <w:bCs/>
          <w:sz w:val="22"/>
          <w:szCs w:val="22"/>
          <w:lang w:val="id-ID" w:eastAsia="zh-CN"/>
        </w:rPr>
      </w:pPr>
    </w:p>
    <w:p w14:paraId="32BEE3FA" w14:textId="6DB215CA" w:rsidR="009B2AE0" w:rsidRPr="00370682" w:rsidRDefault="00B91EF5" w:rsidP="00302C3C">
      <w:pPr>
        <w:spacing w:before="240" w:after="240"/>
        <w:ind w:firstLine="720"/>
        <w:jc w:val="both"/>
        <w:rPr>
          <w:rFonts w:ascii="Cambria" w:hAnsi="Cambria" w:cs="Calibri"/>
          <w:color w:val="000000"/>
          <w:sz w:val="22"/>
          <w:szCs w:val="22"/>
          <w:shd w:val="clear" w:color="auto" w:fill="FFFFFF"/>
        </w:rPr>
      </w:pPr>
      <w:r w:rsidRPr="00370682">
        <w:rPr>
          <w:rFonts w:ascii="Cambria" w:hAnsi="Cambria" w:cs="Calibri"/>
          <w:color w:val="000000"/>
          <w:sz w:val="22"/>
          <w:szCs w:val="22"/>
          <w:shd w:val="clear" w:color="auto" w:fill="FFFFFF"/>
        </w:rPr>
        <w:lastRenderedPageBreak/>
        <w:t>The literature review across ten studies published between 2021 and 2025 reveals a relatively consistent pattern regarding the impact of the Merdeka Curriculum on strengthening twenty-first-century competencies, particularly the four core skills (4C): creativity, collaboration, critical thinking, and communication. Most of the studies—such as those by Talaen et al. (2025) and Lestari and Hindun (2024)—affirm that the Merdeka Curriculum provides a pedagogical framework conducive to fostering the 4C through active learning approaches, especially Project-Based Learning (PjBL). This project-oriented model engages students in exploratory, investigative, and collaborative processes, thus encouraging the natural development of creativity and interpersonal skills.</w:t>
      </w:r>
    </w:p>
    <w:p w14:paraId="491FF6C0" w14:textId="387A086D" w:rsidR="007947DC" w:rsidRPr="00370682" w:rsidRDefault="00F715BE" w:rsidP="00B91EF5">
      <w:pPr>
        <w:pStyle w:val="HD-1"/>
        <w:spacing w:after="240" w:line="240" w:lineRule="auto"/>
        <w:rPr>
          <w:rFonts w:ascii="Cambria" w:hAnsi="Cambria" w:cs="Calibri"/>
          <w:lang w:val="id-ID"/>
        </w:rPr>
      </w:pPr>
      <w:r w:rsidRPr="00370682">
        <w:rPr>
          <w:rFonts w:ascii="Cambria" w:hAnsi="Cambria" w:cs="Calibri"/>
          <w:lang w:val="id-ID"/>
        </w:rPr>
        <w:t>Discussion</w:t>
      </w:r>
    </w:p>
    <w:p w14:paraId="38488D6E" w14:textId="3CA20E39" w:rsidR="00B91EF5" w:rsidRPr="00370682" w:rsidRDefault="00B91EF5" w:rsidP="00B91EF5">
      <w:pPr>
        <w:pStyle w:val="NormalWeb"/>
        <w:shd w:val="clear" w:color="auto" w:fill="FFFFFF"/>
        <w:spacing w:after="225"/>
        <w:jc w:val="both"/>
        <w:rPr>
          <w:rFonts w:ascii="Cambria" w:hAnsi="Cambria" w:cs="Calibri"/>
          <w:b/>
          <w:bCs/>
          <w:color w:val="000000"/>
          <w:sz w:val="22"/>
          <w:szCs w:val="22"/>
        </w:rPr>
      </w:pPr>
      <w:r w:rsidRPr="00370682">
        <w:rPr>
          <w:rFonts w:ascii="Cambria" w:hAnsi="Cambria" w:cs="Calibri"/>
          <w:b/>
          <w:bCs/>
          <w:color w:val="000000"/>
          <w:sz w:val="22"/>
          <w:szCs w:val="22"/>
        </w:rPr>
        <w:t>Philosophical and Policy Rationales of the Merdeka Curriculum</w:t>
      </w:r>
    </w:p>
    <w:p w14:paraId="16018DA9" w14:textId="77777777" w:rsidR="00B91EF5" w:rsidRPr="00370682" w:rsidRDefault="00B91EF5" w:rsidP="00B91EF5">
      <w:pPr>
        <w:pStyle w:val="NormalWeb"/>
        <w:shd w:val="clear" w:color="auto" w:fill="FFFFFF"/>
        <w:spacing w:before="0" w:beforeAutospacing="0"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The Merdeka Curriculum emerged as a response to long‐standing structural challenges within Indonesia’s education system. For decades, the national curriculum has been criticized for being overly content-heavy, oriented toward finishing material rather than fostering understanding, and offering limited flexibility for both teachers and students. These issues produced three fundamental problems:</w:t>
      </w:r>
    </w:p>
    <w:p w14:paraId="6CFF46D9" w14:textId="77777777" w:rsidR="00B91EF5" w:rsidRPr="00370682" w:rsidRDefault="00B91EF5" w:rsidP="00B91EF5">
      <w:pPr>
        <w:pStyle w:val="NormalWeb"/>
        <w:shd w:val="clear" w:color="auto" w:fill="FFFFFF"/>
        <w:spacing w:before="0" w:beforeAutospacing="0" w:after="0" w:afterAutospacing="0"/>
        <w:jc w:val="both"/>
        <w:rPr>
          <w:rFonts w:ascii="Cambria" w:hAnsi="Cambria" w:cs="Calibri"/>
          <w:color w:val="000000"/>
          <w:sz w:val="22"/>
          <w:szCs w:val="22"/>
        </w:rPr>
      </w:pPr>
      <w:r w:rsidRPr="00370682">
        <w:rPr>
          <w:rFonts w:ascii="Cambria" w:hAnsi="Cambria" w:cs="Calibri"/>
          <w:color w:val="000000"/>
          <w:sz w:val="22"/>
          <w:szCs w:val="22"/>
        </w:rPr>
        <w:t>(1) an imbalanced and overloaded curriculum;</w:t>
      </w:r>
    </w:p>
    <w:p w14:paraId="0FBD4339" w14:textId="77777777" w:rsidR="00B91EF5" w:rsidRPr="00370682" w:rsidRDefault="00B91EF5" w:rsidP="00B91EF5">
      <w:pPr>
        <w:pStyle w:val="NormalWeb"/>
        <w:shd w:val="clear" w:color="auto" w:fill="FFFFFF"/>
        <w:spacing w:before="0" w:beforeAutospacing="0" w:after="0" w:afterAutospacing="0"/>
        <w:jc w:val="both"/>
        <w:rPr>
          <w:rFonts w:ascii="Cambria" w:hAnsi="Cambria" w:cs="Calibri"/>
          <w:color w:val="000000"/>
          <w:sz w:val="22"/>
          <w:szCs w:val="22"/>
        </w:rPr>
      </w:pPr>
      <w:r w:rsidRPr="00370682">
        <w:rPr>
          <w:rFonts w:ascii="Cambria" w:hAnsi="Cambria" w:cs="Calibri"/>
          <w:color w:val="000000"/>
          <w:sz w:val="22"/>
          <w:szCs w:val="22"/>
        </w:rPr>
        <w:t>(2) a misalignment between graduate competencies and twenty-first-century demands; and</w:t>
      </w:r>
    </w:p>
    <w:p w14:paraId="7FF8DA25" w14:textId="77777777" w:rsidR="00B91EF5" w:rsidRPr="00370682" w:rsidRDefault="00B91EF5" w:rsidP="00B91EF5">
      <w:pPr>
        <w:pStyle w:val="NormalWeb"/>
        <w:shd w:val="clear" w:color="auto" w:fill="FFFFFF"/>
        <w:spacing w:before="0" w:beforeAutospacing="0" w:after="0" w:afterAutospacing="0"/>
        <w:jc w:val="both"/>
        <w:rPr>
          <w:rFonts w:ascii="Cambria" w:hAnsi="Cambria" w:cs="Calibri"/>
          <w:color w:val="000000"/>
          <w:sz w:val="22"/>
          <w:szCs w:val="22"/>
        </w:rPr>
      </w:pPr>
      <w:r w:rsidRPr="00370682">
        <w:rPr>
          <w:rFonts w:ascii="Cambria" w:hAnsi="Cambria" w:cs="Calibri"/>
          <w:color w:val="000000"/>
          <w:sz w:val="22"/>
          <w:szCs w:val="22"/>
        </w:rPr>
        <w:t>(3) restricted space for pedagogical innovation at the school level.</w:t>
      </w:r>
    </w:p>
    <w:p w14:paraId="52668A3B" w14:textId="08D5B9D3" w:rsidR="00B91EF5" w:rsidRPr="00370682" w:rsidRDefault="00B91EF5" w:rsidP="00B91EF5">
      <w:pPr>
        <w:pStyle w:val="NormalWeb"/>
        <w:shd w:val="clear" w:color="auto" w:fill="FFFFFF"/>
        <w:spacing w:before="0" w:beforeAutospacing="0" w:after="0" w:afterAutospacing="0"/>
        <w:jc w:val="both"/>
        <w:rPr>
          <w:rFonts w:ascii="Cambria" w:hAnsi="Cambria" w:cs="Calibri"/>
          <w:color w:val="000000"/>
          <w:sz w:val="22"/>
          <w:szCs w:val="22"/>
        </w:rPr>
      </w:pPr>
      <w:r w:rsidRPr="00370682">
        <w:rPr>
          <w:rFonts w:ascii="Cambria" w:hAnsi="Cambria" w:cs="Calibri"/>
          <w:color w:val="000000"/>
          <w:sz w:val="22"/>
          <w:szCs w:val="22"/>
        </w:rPr>
        <w:t>Such conditions ultimately required a curriculum reform that is more adaptive, relevant, and humanistic.</w:t>
      </w:r>
    </w:p>
    <w:p w14:paraId="66DE3DCE" w14:textId="76F5EB90" w:rsidR="00B91EF5" w:rsidRPr="00370682" w:rsidRDefault="00B91EF5" w:rsidP="00B91EF5">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Philosophically, the Merdeka Curriculum is grounded in constructivism, humanism, and meaningful learning. Constructivist theory posits that knowledge is not transmitted passively from teacher to student but is actively constructed through direct experience, social interaction, reflection, and problem solving. Humanistic perspectives position learners as unique individuals with emotional needs, intrinsic potential, and autonomy to grow. Meanwhile, the meaningful-learning orientation emphasizes that education must enable learners to develop deep conceptual understanding, connect learning with real-life contexts, and engage in authentic experiences. These three philosophical foundations collectively underpin the curriculum’s shift toward student-centered learning.</w:t>
      </w:r>
    </w:p>
    <w:p w14:paraId="04F3C981" w14:textId="77777777" w:rsidR="00B91EF5" w:rsidRPr="00370682" w:rsidRDefault="00B91EF5" w:rsidP="00B91EF5">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The policy rationale of the Merdeka Curriculum is translated into a series of technical decisions that reflect these philosophical orientations. First, content and learning outcomes are simplified to reduce material overload, provide space for deeper conceptual exploration, and allow teachers to design more personalized pedagogical strategies. Second, learning differentiation is facilitated through flexible teaching modules, adaptable time allocation, and school autonomy in designing operational curricula. Third, formative and diagnostic assessments are strengthened as the starting point of instruction, enabling teachers to tailor learning experiences based on students’ initial competencies. This assessment framework shifts the focus from end-product evaluation to continuous learning monitoring, allowing more targeted instructional interventions.</w:t>
      </w:r>
    </w:p>
    <w:p w14:paraId="0D500D8E" w14:textId="61E1106C" w:rsidR="00B91EF5" w:rsidRPr="00370682" w:rsidRDefault="00B91EF5" w:rsidP="00B91EF5">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Through these structural shifts, the Merdeka Curriculum creates a broader space for the implementation of Student-Centered Learning (SCL). Content simplification frees instructional time for active learning strategies; differentiated instruction ensures that students learn according to their individual needs; and formative assessments provide the data required to personalize learning pathways. Thus, the Merdeka Curriculum is not merely a revision of curriculum documents, but a systematic redesign of the educational ecosystem to foster a more adaptive, participatory, and learner-centered environment.</w:t>
      </w:r>
    </w:p>
    <w:p w14:paraId="4D21C342" w14:textId="77777777" w:rsidR="00B91EF5" w:rsidRPr="00370682" w:rsidRDefault="00B91EF5" w:rsidP="00B91EF5">
      <w:pPr>
        <w:pStyle w:val="NormalWeb"/>
        <w:shd w:val="clear" w:color="auto" w:fill="FFFFFF"/>
        <w:spacing w:after="225"/>
        <w:jc w:val="both"/>
        <w:rPr>
          <w:rFonts w:ascii="Cambria" w:hAnsi="Cambria" w:cs="Calibri"/>
          <w:b/>
          <w:bCs/>
          <w:color w:val="000000"/>
          <w:sz w:val="22"/>
          <w:szCs w:val="22"/>
        </w:rPr>
      </w:pPr>
    </w:p>
    <w:p w14:paraId="5324C37F" w14:textId="30086545" w:rsidR="00B91EF5" w:rsidRPr="00370682" w:rsidRDefault="00B91EF5" w:rsidP="00B91EF5">
      <w:pPr>
        <w:pStyle w:val="NormalWeb"/>
        <w:shd w:val="clear" w:color="auto" w:fill="FFFFFF"/>
        <w:spacing w:after="225"/>
        <w:jc w:val="both"/>
        <w:rPr>
          <w:rFonts w:ascii="Cambria" w:hAnsi="Cambria" w:cs="Calibri"/>
          <w:b/>
          <w:bCs/>
          <w:color w:val="000000"/>
          <w:sz w:val="22"/>
          <w:szCs w:val="22"/>
        </w:rPr>
      </w:pPr>
      <w:r w:rsidRPr="00370682">
        <w:rPr>
          <w:rFonts w:ascii="Cambria" w:hAnsi="Cambria" w:cs="Calibri"/>
          <w:b/>
          <w:bCs/>
          <w:color w:val="000000"/>
          <w:sz w:val="22"/>
          <w:szCs w:val="22"/>
        </w:rPr>
        <w:t>Mechanisms of the Merdeka Curriculum in Supporting Student-Centered Learning</w:t>
      </w:r>
    </w:p>
    <w:p w14:paraId="446CC0D8" w14:textId="77777777" w:rsidR="00B91EF5" w:rsidRPr="00370682" w:rsidRDefault="00B91EF5" w:rsidP="00B91EF5">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The Merdeka Curriculum establishes not only policy direction but also a set of operational mechanisms that directly promote student-centered learning (SCL). These mechanisms operate through principles of personalization, flexibility, meaningful learning experiences, and the cultivation of twenty-first-century competencies. Four major instruments serve as the primary drivers of SCL in the Merdeka Curriculum: diagnostic assessment, teaching modules and learning outcomes, differentiated instruction, and the Projek Penguatan Profil Pelajar Pancasila (P5).</w:t>
      </w:r>
    </w:p>
    <w:p w14:paraId="1B2EF2EA" w14:textId="4ED006C0" w:rsidR="00B91EF5" w:rsidRPr="00370682" w:rsidRDefault="00B91EF5" w:rsidP="00B91EF5">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rPr>
        <w:t>1</w:t>
      </w:r>
      <w:r w:rsidRPr="00370682">
        <w:rPr>
          <w:rFonts w:ascii="Cambria" w:hAnsi="Cambria" w:cs="Calibri"/>
          <w:bCs/>
          <w:color w:val="000000"/>
          <w:sz w:val="22"/>
          <w:szCs w:val="22"/>
          <w:lang w:val="id-ID"/>
        </w:rPr>
        <w:t>.</w:t>
      </w:r>
      <w:r w:rsidRPr="00370682">
        <w:rPr>
          <w:rFonts w:ascii="Cambria" w:hAnsi="Cambria" w:cs="Calibri"/>
          <w:bCs/>
          <w:color w:val="000000"/>
          <w:sz w:val="22"/>
          <w:szCs w:val="22"/>
        </w:rPr>
        <w:t xml:space="preserve"> Diagnostic Assessment as the Foundation of Personalized Learning</w:t>
      </w:r>
    </w:p>
    <w:p w14:paraId="7329C9AE" w14:textId="77777777" w:rsidR="00B91EF5" w:rsidRPr="00370682" w:rsidRDefault="00B91EF5" w:rsidP="00B91EF5">
      <w:pPr>
        <w:pStyle w:val="NormalWeb"/>
        <w:shd w:val="clear" w:color="auto" w:fill="FFFFFF"/>
        <w:spacing w:before="0" w:beforeAutospacing="0"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Diagnostic assessment constitutes a fundamental instrument for implementing SCL because it provides essential information about students’ abilities, interests, and learning needs. Unlike summative assessments, which focus on end results, diagnostic assessments identify learners’ starting points so that instruction can be aligned with individual conditions. The role of diagnostic assessment in SCL includes:</w:t>
      </w:r>
    </w:p>
    <w:p w14:paraId="2A04F416" w14:textId="77777777" w:rsidR="00B91EF5" w:rsidRPr="00370682" w:rsidRDefault="00B91EF5" w:rsidP="00B91EF5">
      <w:pPr>
        <w:pStyle w:val="NormalWeb"/>
        <w:numPr>
          <w:ilvl w:val="0"/>
          <w:numId w:val="27"/>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Mapping students’ initial competencies</w:t>
      </w:r>
    </w:p>
    <w:p w14:paraId="252B0DC7" w14:textId="1B14AF9C" w:rsidR="00B91EF5" w:rsidRPr="00370682" w:rsidRDefault="00B91EF5" w:rsidP="00B91EF5">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It helps teachers understand variation in both cognitive and non-cognitive domains.</w:t>
      </w:r>
    </w:p>
    <w:p w14:paraId="6CCF8061" w14:textId="77777777" w:rsidR="00B91EF5" w:rsidRPr="00370682" w:rsidRDefault="00B91EF5" w:rsidP="00B91EF5">
      <w:pPr>
        <w:pStyle w:val="NormalWeb"/>
        <w:numPr>
          <w:ilvl w:val="0"/>
          <w:numId w:val="27"/>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Determining differentiated instruction</w:t>
      </w:r>
    </w:p>
    <w:p w14:paraId="7FBC3E9E" w14:textId="6F7CEDCA" w:rsidR="00B91EF5" w:rsidRPr="00370682" w:rsidRDefault="00B91EF5" w:rsidP="00B91EF5">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Assessment data guide teachers in designing learning groups, selecting instructional media, and determining task difficulty levels.</w:t>
      </w:r>
    </w:p>
    <w:p w14:paraId="7BCF81C1" w14:textId="77777777" w:rsidR="00B91EF5" w:rsidRPr="00370682" w:rsidRDefault="00B91EF5" w:rsidP="00B91EF5">
      <w:pPr>
        <w:pStyle w:val="NormalWeb"/>
        <w:numPr>
          <w:ilvl w:val="0"/>
          <w:numId w:val="27"/>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Preventing learning gaps</w:t>
      </w:r>
    </w:p>
    <w:p w14:paraId="73BB1D7E" w14:textId="62B1CBA3" w:rsidR="00B91EF5" w:rsidRPr="00370682" w:rsidRDefault="00B91EF5" w:rsidP="00B91EF5">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Early identification of learning gaps enables timely interventions.</w:t>
      </w:r>
    </w:p>
    <w:p w14:paraId="3807FCD3" w14:textId="77777777" w:rsidR="00B91EF5" w:rsidRPr="00370682" w:rsidRDefault="00B91EF5" w:rsidP="00B91EF5">
      <w:pPr>
        <w:pStyle w:val="NormalWeb"/>
        <w:numPr>
          <w:ilvl w:val="0"/>
          <w:numId w:val="27"/>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Encouraging personalization</w:t>
      </w:r>
    </w:p>
    <w:p w14:paraId="6C6772C4" w14:textId="257AFC40" w:rsidR="00B91EF5" w:rsidRPr="00370682" w:rsidRDefault="00B91EF5" w:rsidP="00B91EF5">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Learning experiences can be tailored to students’ learning styles, pace, and special needs.</w:t>
      </w:r>
    </w:p>
    <w:p w14:paraId="4C2601BD" w14:textId="0B346E55" w:rsidR="00B91EF5" w:rsidRPr="00370682" w:rsidRDefault="00B91EF5" w:rsidP="00B91EF5">
      <w:pPr>
        <w:pStyle w:val="NormalWeb"/>
        <w:shd w:val="clear" w:color="auto" w:fill="FFFFFF"/>
        <w:spacing w:before="0" w:beforeAutospacing="0" w:after="225"/>
        <w:jc w:val="both"/>
        <w:rPr>
          <w:rFonts w:ascii="Cambria" w:hAnsi="Cambria" w:cs="Calibri"/>
          <w:color w:val="000000"/>
          <w:sz w:val="22"/>
          <w:szCs w:val="22"/>
        </w:rPr>
      </w:pPr>
      <w:r w:rsidRPr="00370682">
        <w:rPr>
          <w:rFonts w:ascii="Cambria" w:hAnsi="Cambria" w:cs="Calibri"/>
          <w:color w:val="000000"/>
          <w:sz w:val="22"/>
          <w:szCs w:val="22"/>
        </w:rPr>
        <w:t>Diagnostic assessment thus transforms learning from a uniform, one-size-fits-all process into a personalized pathway aligned with the learner’s profile.</w:t>
      </w:r>
    </w:p>
    <w:p w14:paraId="691D8154" w14:textId="4B4A7A66" w:rsidR="00B91EF5" w:rsidRPr="00370682" w:rsidRDefault="00B91EF5" w:rsidP="00B91EF5">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rPr>
        <w:t>2</w:t>
      </w:r>
      <w:r w:rsidRPr="00370682">
        <w:rPr>
          <w:rFonts w:ascii="Cambria" w:hAnsi="Cambria" w:cs="Calibri"/>
          <w:bCs/>
          <w:color w:val="000000"/>
          <w:sz w:val="22"/>
          <w:szCs w:val="22"/>
          <w:lang w:val="id-ID"/>
        </w:rPr>
        <w:t>.</w:t>
      </w:r>
      <w:r w:rsidRPr="00370682">
        <w:rPr>
          <w:rFonts w:ascii="Cambria" w:hAnsi="Cambria" w:cs="Calibri"/>
          <w:bCs/>
          <w:color w:val="000000"/>
          <w:sz w:val="22"/>
          <w:szCs w:val="22"/>
        </w:rPr>
        <w:t xml:space="preserve"> Teaching Modules and Learning Outcomes</w:t>
      </w:r>
    </w:p>
    <w:p w14:paraId="2BF77345" w14:textId="77777777" w:rsidR="00B91EF5" w:rsidRPr="00370682" w:rsidRDefault="00B91EF5" w:rsidP="00B91EF5">
      <w:pPr>
        <w:pStyle w:val="NormalWeb"/>
        <w:shd w:val="clear" w:color="auto" w:fill="FFFFFF"/>
        <w:spacing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The Merdeka Curriculum replaces the previous Competency Standards with more essential and concise Learning Outcomes (Capaian Pembelajaran/CP). These outcomes are operationalized through teaching modules that teachers can modify flexibly. Their roles in supporting SCL include:</w:t>
      </w:r>
    </w:p>
    <w:p w14:paraId="6015F658" w14:textId="77777777" w:rsidR="00B91EF5" w:rsidRPr="00370682" w:rsidRDefault="00B91EF5" w:rsidP="00B91EF5">
      <w:pPr>
        <w:pStyle w:val="NormalWeb"/>
        <w:numPr>
          <w:ilvl w:val="0"/>
          <w:numId w:val="24"/>
        </w:numPr>
        <w:shd w:val="clear" w:color="auto" w:fill="FFFFFF"/>
        <w:tabs>
          <w:tab w:val="clear" w:pos="720"/>
          <w:tab w:val="num" w:pos="990"/>
        </w:tabs>
        <w:spacing w:before="0" w:beforeAutospacing="0" w:after="0" w:afterAutospacing="0"/>
        <w:ind w:left="360" w:hanging="270"/>
        <w:jc w:val="both"/>
        <w:rPr>
          <w:rFonts w:ascii="Cambria" w:hAnsi="Cambria" w:cs="Calibri"/>
          <w:color w:val="000000"/>
          <w:sz w:val="22"/>
          <w:szCs w:val="22"/>
        </w:rPr>
      </w:pPr>
      <w:r w:rsidRPr="00370682">
        <w:rPr>
          <w:rFonts w:ascii="Cambria" w:hAnsi="Cambria" w:cs="Calibri"/>
          <w:bCs/>
          <w:color w:val="000000"/>
          <w:sz w:val="22"/>
          <w:szCs w:val="22"/>
        </w:rPr>
        <w:t>Providing a non-rigid instructional framework</w:t>
      </w:r>
    </w:p>
    <w:p w14:paraId="4F0DEC4A" w14:textId="45987106" w:rsidR="00B91EF5" w:rsidRPr="00370682" w:rsidRDefault="00B91EF5" w:rsidP="00B91EF5">
      <w:pPr>
        <w:pStyle w:val="NormalWeb"/>
        <w:shd w:val="clear" w:color="auto" w:fill="FFFFFF"/>
        <w:spacing w:before="0" w:beforeAutospacing="0" w:after="0" w:afterAutospacing="0"/>
        <w:ind w:left="360"/>
        <w:jc w:val="both"/>
        <w:rPr>
          <w:rFonts w:ascii="Cambria" w:hAnsi="Cambria" w:cs="Calibri"/>
          <w:color w:val="000000"/>
          <w:sz w:val="22"/>
          <w:szCs w:val="22"/>
        </w:rPr>
      </w:pPr>
      <w:r w:rsidRPr="00370682">
        <w:rPr>
          <w:rFonts w:ascii="Cambria" w:hAnsi="Cambria" w:cs="Calibri"/>
          <w:color w:val="000000"/>
          <w:sz w:val="22"/>
          <w:szCs w:val="22"/>
        </w:rPr>
        <w:t>Teachers have creative freedom to choose methods, learning activities, and assessment techniques.</w:t>
      </w:r>
    </w:p>
    <w:p w14:paraId="7967C1F3" w14:textId="77777777" w:rsidR="00B91EF5" w:rsidRPr="00370682" w:rsidRDefault="00B91EF5" w:rsidP="00B91EF5">
      <w:pPr>
        <w:pStyle w:val="NormalWeb"/>
        <w:numPr>
          <w:ilvl w:val="0"/>
          <w:numId w:val="24"/>
        </w:numPr>
        <w:shd w:val="clear" w:color="auto" w:fill="FFFFFF"/>
        <w:tabs>
          <w:tab w:val="clear" w:pos="720"/>
          <w:tab w:val="num" w:pos="990"/>
        </w:tabs>
        <w:spacing w:before="0" w:beforeAutospacing="0" w:after="0" w:afterAutospacing="0"/>
        <w:ind w:left="360" w:hanging="270"/>
        <w:jc w:val="both"/>
        <w:rPr>
          <w:rFonts w:ascii="Cambria" w:hAnsi="Cambria" w:cs="Calibri"/>
          <w:color w:val="000000"/>
          <w:sz w:val="22"/>
          <w:szCs w:val="22"/>
        </w:rPr>
      </w:pPr>
      <w:r w:rsidRPr="00370682">
        <w:rPr>
          <w:rFonts w:ascii="Cambria" w:hAnsi="Cambria" w:cs="Calibri"/>
          <w:bCs/>
          <w:color w:val="000000"/>
          <w:sz w:val="22"/>
          <w:szCs w:val="22"/>
        </w:rPr>
        <w:t>Allowing adaptation to local contexts</w:t>
      </w:r>
    </w:p>
    <w:p w14:paraId="642EC4FF" w14:textId="1C888396" w:rsidR="00B91EF5" w:rsidRPr="00370682" w:rsidRDefault="00B91EF5" w:rsidP="00B91EF5">
      <w:pPr>
        <w:pStyle w:val="NormalWeb"/>
        <w:shd w:val="clear" w:color="auto" w:fill="FFFFFF"/>
        <w:spacing w:before="0" w:beforeAutospacing="0" w:after="0" w:afterAutospacing="0"/>
        <w:ind w:left="360"/>
        <w:jc w:val="both"/>
        <w:rPr>
          <w:rFonts w:ascii="Cambria" w:hAnsi="Cambria" w:cs="Calibri"/>
          <w:color w:val="000000"/>
          <w:sz w:val="22"/>
          <w:szCs w:val="22"/>
        </w:rPr>
      </w:pPr>
      <w:r w:rsidRPr="00370682">
        <w:rPr>
          <w:rFonts w:ascii="Cambria" w:hAnsi="Cambria" w:cs="Calibri"/>
          <w:color w:val="000000"/>
          <w:sz w:val="22"/>
          <w:szCs w:val="22"/>
        </w:rPr>
        <w:t>Lessons can connect with students’ social and cultural environments, promoting contextualized learning.</w:t>
      </w:r>
    </w:p>
    <w:p w14:paraId="1E871902" w14:textId="77777777" w:rsidR="00B91EF5" w:rsidRPr="00370682" w:rsidRDefault="00B91EF5" w:rsidP="00B91EF5">
      <w:pPr>
        <w:pStyle w:val="NormalWeb"/>
        <w:numPr>
          <w:ilvl w:val="0"/>
          <w:numId w:val="24"/>
        </w:numPr>
        <w:shd w:val="clear" w:color="auto" w:fill="FFFFFF"/>
        <w:tabs>
          <w:tab w:val="clear" w:pos="720"/>
          <w:tab w:val="num" w:pos="990"/>
        </w:tabs>
        <w:spacing w:before="0" w:beforeAutospacing="0" w:after="0" w:afterAutospacing="0"/>
        <w:ind w:left="360" w:hanging="270"/>
        <w:jc w:val="both"/>
        <w:rPr>
          <w:rFonts w:ascii="Cambria" w:hAnsi="Cambria" w:cs="Calibri"/>
          <w:color w:val="000000"/>
          <w:sz w:val="22"/>
          <w:szCs w:val="22"/>
        </w:rPr>
      </w:pPr>
      <w:r w:rsidRPr="00370682">
        <w:rPr>
          <w:rFonts w:ascii="Cambria" w:hAnsi="Cambria" w:cs="Calibri"/>
          <w:bCs/>
          <w:color w:val="000000"/>
          <w:sz w:val="22"/>
          <w:szCs w:val="22"/>
        </w:rPr>
        <w:t>Encouraging active learning models</w:t>
      </w:r>
    </w:p>
    <w:p w14:paraId="71485CF9" w14:textId="3FD7185A" w:rsidR="00B91EF5" w:rsidRPr="00370682" w:rsidRDefault="00B91EF5" w:rsidP="00B91EF5">
      <w:pPr>
        <w:pStyle w:val="NormalWeb"/>
        <w:shd w:val="clear" w:color="auto" w:fill="FFFFFF"/>
        <w:spacing w:before="0" w:beforeAutospacing="0" w:after="0" w:afterAutospacing="0"/>
        <w:ind w:left="360"/>
        <w:jc w:val="both"/>
        <w:rPr>
          <w:rFonts w:ascii="Cambria" w:hAnsi="Cambria" w:cs="Calibri"/>
          <w:color w:val="000000"/>
          <w:sz w:val="22"/>
          <w:szCs w:val="22"/>
        </w:rPr>
      </w:pPr>
      <w:r w:rsidRPr="00370682">
        <w:rPr>
          <w:rFonts w:ascii="Cambria" w:hAnsi="Cambria" w:cs="Calibri"/>
          <w:color w:val="000000"/>
          <w:sz w:val="22"/>
          <w:szCs w:val="22"/>
        </w:rPr>
        <w:t>Teachers are more empowered to implement discussions, experiments, inquiry-based learning, problem solving, and PjBL.</w:t>
      </w:r>
    </w:p>
    <w:p w14:paraId="2DB4F61C" w14:textId="77777777" w:rsidR="00B91EF5" w:rsidRPr="00370682" w:rsidRDefault="00B91EF5" w:rsidP="00B91EF5">
      <w:pPr>
        <w:pStyle w:val="NormalWeb"/>
        <w:numPr>
          <w:ilvl w:val="0"/>
          <w:numId w:val="24"/>
        </w:numPr>
        <w:shd w:val="clear" w:color="auto" w:fill="FFFFFF"/>
        <w:tabs>
          <w:tab w:val="clear" w:pos="720"/>
          <w:tab w:val="num" w:pos="990"/>
        </w:tabs>
        <w:spacing w:before="0" w:beforeAutospacing="0" w:after="0" w:afterAutospacing="0"/>
        <w:ind w:left="360" w:hanging="270"/>
        <w:jc w:val="both"/>
        <w:rPr>
          <w:rFonts w:ascii="Cambria" w:hAnsi="Cambria" w:cs="Calibri"/>
          <w:color w:val="000000"/>
          <w:sz w:val="22"/>
          <w:szCs w:val="22"/>
        </w:rPr>
      </w:pPr>
      <w:r w:rsidRPr="00370682">
        <w:rPr>
          <w:rFonts w:ascii="Cambria" w:hAnsi="Cambria" w:cs="Calibri"/>
          <w:bCs/>
          <w:color w:val="000000"/>
          <w:sz w:val="22"/>
          <w:szCs w:val="22"/>
        </w:rPr>
        <w:t>Facilitating continuous improvement</w:t>
      </w:r>
    </w:p>
    <w:p w14:paraId="0023C3B5" w14:textId="12526E23" w:rsidR="00B91EF5" w:rsidRPr="00370682" w:rsidRDefault="00B91EF5" w:rsidP="00B91EF5">
      <w:pPr>
        <w:pStyle w:val="NormalWeb"/>
        <w:shd w:val="clear" w:color="auto" w:fill="FFFFFF"/>
        <w:spacing w:before="0" w:beforeAutospacing="0" w:after="0" w:afterAutospacing="0"/>
        <w:ind w:left="360"/>
        <w:jc w:val="both"/>
        <w:rPr>
          <w:rFonts w:ascii="Cambria" w:hAnsi="Cambria" w:cs="Calibri"/>
          <w:color w:val="000000"/>
          <w:sz w:val="22"/>
          <w:szCs w:val="22"/>
        </w:rPr>
      </w:pPr>
      <w:r w:rsidRPr="00370682">
        <w:rPr>
          <w:rFonts w:ascii="Cambria" w:hAnsi="Cambria" w:cs="Calibri"/>
          <w:color w:val="000000"/>
          <w:sz w:val="22"/>
          <w:szCs w:val="22"/>
        </w:rPr>
        <w:t>The modular structure allows teachers to revise, reflect on, and improve their instructional practices.</w:t>
      </w:r>
    </w:p>
    <w:p w14:paraId="61213428" w14:textId="55061B08" w:rsidR="00B91EF5" w:rsidRPr="00370682" w:rsidRDefault="00B91EF5" w:rsidP="00B91EF5">
      <w:pPr>
        <w:pStyle w:val="NormalWeb"/>
        <w:shd w:val="clear" w:color="auto" w:fill="FFFFFF"/>
        <w:spacing w:before="0" w:beforeAutospacing="0" w:after="225"/>
        <w:jc w:val="both"/>
        <w:rPr>
          <w:rFonts w:ascii="Cambria" w:hAnsi="Cambria" w:cs="Calibri"/>
          <w:color w:val="000000"/>
          <w:sz w:val="22"/>
          <w:szCs w:val="22"/>
        </w:rPr>
      </w:pPr>
      <w:r w:rsidRPr="00370682">
        <w:rPr>
          <w:rFonts w:ascii="Cambria" w:hAnsi="Cambria" w:cs="Calibri"/>
          <w:color w:val="000000"/>
          <w:sz w:val="22"/>
          <w:szCs w:val="22"/>
        </w:rPr>
        <w:t>Thus, teaching modules and CP serve as a flexible container through which teachers translate SCL principles into everyday classroom practice.</w:t>
      </w:r>
    </w:p>
    <w:p w14:paraId="7EE7CE49" w14:textId="77777777" w:rsidR="00B91EF5" w:rsidRPr="00370682" w:rsidRDefault="00B91EF5" w:rsidP="00B91EF5">
      <w:pPr>
        <w:pStyle w:val="NormalWeb"/>
        <w:shd w:val="clear" w:color="auto" w:fill="FFFFFF"/>
        <w:spacing w:before="0" w:beforeAutospacing="0" w:after="225"/>
        <w:jc w:val="both"/>
        <w:rPr>
          <w:rFonts w:ascii="Cambria" w:hAnsi="Cambria" w:cs="Calibri"/>
          <w:color w:val="000000"/>
          <w:sz w:val="22"/>
          <w:szCs w:val="22"/>
        </w:rPr>
      </w:pPr>
    </w:p>
    <w:p w14:paraId="1DE1BE7B" w14:textId="77777777" w:rsidR="00B91EF5" w:rsidRPr="00370682" w:rsidRDefault="00B91EF5" w:rsidP="00B91EF5">
      <w:pPr>
        <w:pStyle w:val="NormalWeb"/>
        <w:shd w:val="clear" w:color="auto" w:fill="FFFFFF"/>
        <w:spacing w:before="0" w:beforeAutospacing="0" w:after="225"/>
        <w:jc w:val="both"/>
        <w:rPr>
          <w:rFonts w:ascii="Cambria" w:hAnsi="Cambria" w:cs="Calibri"/>
          <w:color w:val="000000"/>
          <w:sz w:val="22"/>
          <w:szCs w:val="22"/>
        </w:rPr>
      </w:pPr>
    </w:p>
    <w:p w14:paraId="51DADE3D" w14:textId="7A988906" w:rsidR="00B91EF5" w:rsidRPr="00370682" w:rsidRDefault="00B91EF5" w:rsidP="00B91EF5">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rPr>
        <w:t>3</w:t>
      </w:r>
      <w:r w:rsidRPr="00370682">
        <w:rPr>
          <w:rFonts w:ascii="Cambria" w:hAnsi="Cambria" w:cs="Calibri"/>
          <w:bCs/>
          <w:color w:val="000000"/>
          <w:sz w:val="22"/>
          <w:szCs w:val="22"/>
          <w:lang w:val="id-ID"/>
        </w:rPr>
        <w:t>.</w:t>
      </w:r>
      <w:r w:rsidRPr="00370682">
        <w:rPr>
          <w:rFonts w:ascii="Cambria" w:hAnsi="Cambria" w:cs="Calibri"/>
          <w:bCs/>
          <w:color w:val="000000"/>
          <w:sz w:val="22"/>
          <w:szCs w:val="22"/>
        </w:rPr>
        <w:t xml:space="preserve"> Differentiated Instruction Strengthening the Orientation Toward Individual Learners</w:t>
      </w:r>
    </w:p>
    <w:p w14:paraId="548C9FBA" w14:textId="77777777" w:rsidR="00B91EF5" w:rsidRPr="00370682" w:rsidRDefault="00B91EF5" w:rsidP="00B91EF5">
      <w:pPr>
        <w:pStyle w:val="NormalWeb"/>
        <w:shd w:val="clear" w:color="auto" w:fill="FFFFFF"/>
        <w:spacing w:before="0" w:beforeAutospacing="0"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Differentiated instruction allows teachers to tailor learning experiences based on students’ readiness levels, interests, and learning profiles—an approach fully aligned with SCL. Three major forms of differentiation include:</w:t>
      </w:r>
    </w:p>
    <w:p w14:paraId="126BC06D" w14:textId="77777777" w:rsidR="00B91EF5" w:rsidRPr="00370682" w:rsidRDefault="00B91EF5" w:rsidP="00B91EF5">
      <w:pPr>
        <w:pStyle w:val="NormalWeb"/>
        <w:numPr>
          <w:ilvl w:val="0"/>
          <w:numId w:val="25"/>
        </w:numPr>
        <w:shd w:val="clear" w:color="auto" w:fill="FFFFFF"/>
        <w:tabs>
          <w:tab w:val="clear" w:pos="720"/>
          <w:tab w:val="num" w:pos="900"/>
        </w:tabs>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Content differentiation</w:t>
      </w:r>
    </w:p>
    <w:p w14:paraId="31D88D0B" w14:textId="4AC1C1CE" w:rsidR="00B91EF5" w:rsidRPr="00370682" w:rsidRDefault="00B91EF5" w:rsidP="00B91EF5">
      <w:pPr>
        <w:pStyle w:val="NormalWeb"/>
        <w:shd w:val="clear" w:color="auto" w:fill="FFFFFF"/>
        <w:tabs>
          <w:tab w:val="num" w:pos="900"/>
        </w:tabs>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Materials are offered at varying levels of complexity according to students’ abilities.</w:t>
      </w:r>
    </w:p>
    <w:p w14:paraId="34ED5466" w14:textId="77777777" w:rsidR="00B91EF5" w:rsidRPr="00370682" w:rsidRDefault="00B91EF5" w:rsidP="00B91EF5">
      <w:pPr>
        <w:pStyle w:val="NormalWeb"/>
        <w:numPr>
          <w:ilvl w:val="0"/>
          <w:numId w:val="25"/>
        </w:numPr>
        <w:shd w:val="clear" w:color="auto" w:fill="FFFFFF"/>
        <w:tabs>
          <w:tab w:val="clear" w:pos="720"/>
          <w:tab w:val="num" w:pos="900"/>
        </w:tabs>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Process differentiation</w:t>
      </w:r>
    </w:p>
    <w:p w14:paraId="5BA7BD1B" w14:textId="0FCB9D4E" w:rsidR="00B91EF5" w:rsidRPr="00370682" w:rsidRDefault="00B91EF5" w:rsidP="00B91EF5">
      <w:pPr>
        <w:pStyle w:val="NormalWeb"/>
        <w:shd w:val="clear" w:color="auto" w:fill="FFFFFF"/>
        <w:tabs>
          <w:tab w:val="num" w:pos="900"/>
        </w:tabs>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Learning activities are provided in several modes, such as projects, discussions, or digital explorations.</w:t>
      </w:r>
    </w:p>
    <w:p w14:paraId="7197B5AB" w14:textId="77777777" w:rsidR="00B91EF5" w:rsidRPr="00370682" w:rsidRDefault="00B91EF5" w:rsidP="00B91EF5">
      <w:pPr>
        <w:pStyle w:val="NormalWeb"/>
        <w:numPr>
          <w:ilvl w:val="0"/>
          <w:numId w:val="25"/>
        </w:numPr>
        <w:shd w:val="clear" w:color="auto" w:fill="FFFFFF"/>
        <w:tabs>
          <w:tab w:val="clear" w:pos="720"/>
          <w:tab w:val="num" w:pos="900"/>
        </w:tabs>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Product differentiation</w:t>
      </w:r>
    </w:p>
    <w:p w14:paraId="4D0E940B" w14:textId="64214C1E" w:rsidR="00B91EF5" w:rsidRPr="00370682" w:rsidRDefault="00B91EF5" w:rsidP="00B91EF5">
      <w:pPr>
        <w:pStyle w:val="NormalWeb"/>
        <w:shd w:val="clear" w:color="auto" w:fill="FFFFFF"/>
        <w:tabs>
          <w:tab w:val="num" w:pos="900"/>
        </w:tabs>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Students may choose the format of their learning outputs, such as presentations, posters, portfolios, videos, or written reports.</w:t>
      </w:r>
    </w:p>
    <w:p w14:paraId="453AE356" w14:textId="79881875" w:rsidR="00B91EF5" w:rsidRPr="00370682" w:rsidRDefault="00B91EF5" w:rsidP="00B91EF5">
      <w:pPr>
        <w:pStyle w:val="NormalWeb"/>
        <w:shd w:val="clear" w:color="auto" w:fill="FFFFFF"/>
        <w:spacing w:before="0" w:beforeAutospacing="0" w:after="225"/>
        <w:jc w:val="both"/>
        <w:rPr>
          <w:rFonts w:ascii="Cambria" w:hAnsi="Cambria" w:cs="Calibri"/>
          <w:color w:val="000000"/>
          <w:sz w:val="22"/>
          <w:szCs w:val="22"/>
        </w:rPr>
      </w:pPr>
      <w:r w:rsidRPr="00370682">
        <w:rPr>
          <w:rFonts w:ascii="Cambria" w:hAnsi="Cambria" w:cs="Calibri"/>
          <w:color w:val="000000"/>
          <w:sz w:val="22"/>
          <w:szCs w:val="22"/>
        </w:rPr>
        <w:t>Differentiated instruction encourages student autonomy and fosters meaningful participation, making learning more relevant and learner-centered.</w:t>
      </w:r>
    </w:p>
    <w:p w14:paraId="7F304370" w14:textId="238FADC7" w:rsidR="00B91EF5" w:rsidRPr="00370682" w:rsidRDefault="00B91EF5" w:rsidP="00B91EF5">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rPr>
        <w:t>4.</w:t>
      </w:r>
      <w:r w:rsidRPr="00370682">
        <w:rPr>
          <w:rFonts w:ascii="Cambria" w:hAnsi="Cambria" w:cs="Calibri"/>
          <w:bCs/>
          <w:color w:val="000000"/>
          <w:sz w:val="22"/>
          <w:szCs w:val="22"/>
          <w:lang w:val="id-ID"/>
        </w:rPr>
        <w:t xml:space="preserve"> </w:t>
      </w:r>
      <w:r w:rsidRPr="00370682">
        <w:rPr>
          <w:rFonts w:ascii="Cambria" w:hAnsi="Cambria" w:cs="Calibri"/>
          <w:bCs/>
          <w:color w:val="000000"/>
          <w:sz w:val="22"/>
          <w:szCs w:val="22"/>
        </w:rPr>
        <w:t>The Projek Profil Pelajar Pancasila (P5)</w:t>
      </w:r>
    </w:p>
    <w:p w14:paraId="799820C9" w14:textId="77777777" w:rsidR="00B91EF5" w:rsidRPr="00370682" w:rsidRDefault="00B91EF5" w:rsidP="00B91EF5">
      <w:pPr>
        <w:pStyle w:val="NormalWeb"/>
        <w:shd w:val="clear" w:color="auto" w:fill="FFFFFF"/>
        <w:spacing w:before="0" w:beforeAutospacing="0"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P5 is a core component of the Merdeka Curriculum that embeds project-based learning (PjBL) to strengthen the six dimensions of the Pancasila Student Profile. PjBL within P5 promotes authentic, collaborative, and reflective learning experiences. P5 acts as a bridge between the Merdeka Curriculum and SCL in several ways:</w:t>
      </w:r>
    </w:p>
    <w:p w14:paraId="38EC8F51" w14:textId="77777777" w:rsidR="00B91EF5" w:rsidRPr="00370682" w:rsidRDefault="00B91EF5" w:rsidP="00B91EF5">
      <w:pPr>
        <w:pStyle w:val="NormalWeb"/>
        <w:numPr>
          <w:ilvl w:val="0"/>
          <w:numId w:val="26"/>
        </w:numPr>
        <w:shd w:val="clear" w:color="auto" w:fill="FFFFFF"/>
        <w:tabs>
          <w:tab w:val="clear" w:pos="720"/>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Students act as problem solvers</w:t>
      </w:r>
    </w:p>
    <w:p w14:paraId="5C2EBE06" w14:textId="6642DF07" w:rsidR="00B91EF5" w:rsidRPr="00370682" w:rsidRDefault="00B91EF5" w:rsidP="00B91EF5">
      <w:pPr>
        <w:pStyle w:val="NormalWeb"/>
        <w:shd w:val="clear" w:color="auto" w:fill="FFFFFF"/>
        <w:tabs>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They analyze issues, design solutions, and present their findings.</w:t>
      </w:r>
    </w:p>
    <w:p w14:paraId="0F3E436A" w14:textId="77777777" w:rsidR="00B91EF5" w:rsidRPr="00370682" w:rsidRDefault="00B91EF5" w:rsidP="00B91EF5">
      <w:pPr>
        <w:pStyle w:val="NormalWeb"/>
        <w:numPr>
          <w:ilvl w:val="0"/>
          <w:numId w:val="26"/>
        </w:numPr>
        <w:shd w:val="clear" w:color="auto" w:fill="FFFFFF"/>
        <w:tabs>
          <w:tab w:val="clear" w:pos="720"/>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Teachers serve as facilitators</w:t>
      </w:r>
    </w:p>
    <w:p w14:paraId="083CC187" w14:textId="62ACFE4A" w:rsidR="00B91EF5" w:rsidRPr="00370682" w:rsidRDefault="00B91EF5" w:rsidP="00B91EF5">
      <w:pPr>
        <w:pStyle w:val="NormalWeb"/>
        <w:shd w:val="clear" w:color="auto" w:fill="FFFFFF"/>
        <w:tabs>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Teachers guide rather than control the learning process, providing resources and direction as needed.</w:t>
      </w:r>
    </w:p>
    <w:p w14:paraId="381E377A" w14:textId="77777777" w:rsidR="00B91EF5" w:rsidRPr="00370682" w:rsidRDefault="00B91EF5" w:rsidP="00B91EF5">
      <w:pPr>
        <w:pStyle w:val="NormalWeb"/>
        <w:numPr>
          <w:ilvl w:val="0"/>
          <w:numId w:val="26"/>
        </w:numPr>
        <w:shd w:val="clear" w:color="auto" w:fill="FFFFFF"/>
        <w:tabs>
          <w:tab w:val="clear" w:pos="720"/>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Contextualized learning</w:t>
      </w:r>
    </w:p>
    <w:p w14:paraId="1DD90740" w14:textId="7A431B5C" w:rsidR="00B91EF5" w:rsidRPr="00370682" w:rsidRDefault="00B91EF5" w:rsidP="00B91EF5">
      <w:pPr>
        <w:pStyle w:val="NormalWeb"/>
        <w:shd w:val="clear" w:color="auto" w:fill="FFFFFF"/>
        <w:tabs>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Projects address real-world issues such as environmental problems, local culture, entrepreneurship, and technology.</w:t>
      </w:r>
    </w:p>
    <w:p w14:paraId="190AC9D8" w14:textId="77777777" w:rsidR="00B91EF5" w:rsidRPr="00370682" w:rsidRDefault="00B91EF5" w:rsidP="00B91EF5">
      <w:pPr>
        <w:pStyle w:val="NormalWeb"/>
        <w:numPr>
          <w:ilvl w:val="0"/>
          <w:numId w:val="26"/>
        </w:numPr>
        <w:shd w:val="clear" w:color="auto" w:fill="FFFFFF"/>
        <w:tabs>
          <w:tab w:val="clear" w:pos="720"/>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Strengthening 4C competencies</w:t>
      </w:r>
    </w:p>
    <w:p w14:paraId="29F7E65D" w14:textId="4DEE105A" w:rsidR="00B91EF5" w:rsidRPr="00370682" w:rsidRDefault="00B91EF5" w:rsidP="00B91EF5">
      <w:pPr>
        <w:pStyle w:val="NormalWeb"/>
        <w:shd w:val="clear" w:color="auto" w:fill="FFFFFF"/>
        <w:tabs>
          <w:tab w:val="num" w:pos="990"/>
        </w:tabs>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Creativity, communication, collaboration, and critical thinking are developed through authentic experiences.</w:t>
      </w:r>
    </w:p>
    <w:p w14:paraId="264D3589" w14:textId="77777777" w:rsidR="00B91EF5" w:rsidRPr="00370682" w:rsidRDefault="00B91EF5" w:rsidP="00B91EF5">
      <w:pPr>
        <w:pStyle w:val="NormalWeb"/>
        <w:shd w:val="clear" w:color="auto" w:fill="FFFFFF"/>
        <w:spacing w:before="0" w:beforeAutospacing="0" w:after="225"/>
        <w:jc w:val="both"/>
        <w:rPr>
          <w:rFonts w:ascii="Cambria" w:hAnsi="Cambria" w:cs="Calibri"/>
          <w:color w:val="000000"/>
          <w:sz w:val="22"/>
          <w:szCs w:val="22"/>
        </w:rPr>
      </w:pPr>
      <w:r w:rsidRPr="00370682">
        <w:rPr>
          <w:rFonts w:ascii="Cambria" w:hAnsi="Cambria" w:cs="Calibri"/>
          <w:color w:val="000000"/>
          <w:sz w:val="22"/>
          <w:szCs w:val="22"/>
        </w:rPr>
        <w:t>Thus, P5 represents the most tangible manifestation of the Merdeka Curriculum’s commitment to active, holistic, and student-centered learning.</w:t>
      </w:r>
    </w:p>
    <w:p w14:paraId="1A05C364" w14:textId="0A2F2B66" w:rsidR="00B91EF5" w:rsidRPr="00370682" w:rsidRDefault="00B91EF5" w:rsidP="00B91EF5">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More specific findings indicate that creativity and collaboration are the two domains showing the most prominent improvement. Studies by Hidayat et al. (2023) and Suyanto (2023) demonstrate that students engaging in PjBL or PjBL-STEM exhibit enhanced abilities in generating new ideas, working collaboratively, and managing project tasks in an integrated manner. Meanwhile, improvements in critical-thinking skills are also reported in several studies, such as those by Prabowo and Khaudli (2024) and Waruwu (2024). However, some studies including the SLR by Talaen et al. (2025) note that the development of critical thinking requires more targeted and consistent pedagogical strategies, given its demand for deeper analytical engagement and habitual reflective practice.</w:t>
      </w:r>
    </w:p>
    <w:p w14:paraId="6A259A82" w14:textId="77777777" w:rsidR="00B91EF5" w:rsidRPr="00370682" w:rsidRDefault="00B91EF5" w:rsidP="00B91EF5">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 xml:space="preserve">Several studies provide contextual evidence on how the Merdeka Curriculum contributes to creating a more reflective and collaborative learning environment. Permana et al. (2023) show that the flexible learning tools within the Merdeka Curriculum enable teachers to design activities emphasizing problem solving, open discussion, and more intensive group work. Similar findings are reported by Yuliana (2024), who argues that PjBL innovations </w:t>
      </w:r>
      <w:r w:rsidRPr="00370682">
        <w:rPr>
          <w:rFonts w:ascii="Cambria" w:hAnsi="Cambria" w:cs="Calibri"/>
          <w:color w:val="000000"/>
          <w:sz w:val="22"/>
          <w:szCs w:val="22"/>
        </w:rPr>
        <w:lastRenderedPageBreak/>
        <w:t>within the Merdeka Curriculum encourage elementary students to practice critical and creative thinking through authentic situations relevant to their daily lives.</w:t>
      </w:r>
    </w:p>
    <w:p w14:paraId="45DA43DC" w14:textId="18D2F041" w:rsidR="00B91EF5" w:rsidRPr="00370682" w:rsidRDefault="00B91EF5"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Discipline-specific contexts further enrich the understanding of the Merdeka Curriculum’s implementation. Arum (2025) highlights that English-language instruction under the Merdeka Curriculum can be optimized to integrate the four 4C competencies simultaneously. Through activities such as dialogue practice, group collaboration, problem solving, and creative production, language learning becomes oriented not only toward linguistic mastery but also toward the development of key twenty-first-century competencies.</w:t>
      </w:r>
      <w:r w:rsidR="00663950" w:rsidRPr="00370682">
        <w:rPr>
          <w:rFonts w:ascii="Cambria" w:hAnsi="Cambria" w:cs="Calibri"/>
          <w:color w:val="000000"/>
          <w:sz w:val="22"/>
          <w:szCs w:val="22"/>
          <w:lang w:val="id-ID"/>
        </w:rPr>
        <w:t xml:space="preserve"> </w:t>
      </w:r>
      <w:r w:rsidRPr="00370682">
        <w:rPr>
          <w:rFonts w:ascii="Cambria" w:hAnsi="Cambria" w:cs="Calibri"/>
          <w:color w:val="000000"/>
          <w:sz w:val="22"/>
          <w:szCs w:val="22"/>
          <w:lang w:val="id-ID"/>
        </w:rPr>
        <w:t>T</w:t>
      </w:r>
      <w:r w:rsidRPr="00370682">
        <w:rPr>
          <w:rFonts w:ascii="Cambria" w:hAnsi="Cambria" w:cs="Calibri"/>
          <w:color w:val="000000"/>
          <w:sz w:val="22"/>
          <w:szCs w:val="22"/>
        </w:rPr>
        <w:t>hese findings show that the Merdeka Curriculum provides more than administrative flexibility, it drives meaningful pedagogical transformation. Through PjBL, differentiated instruction, formative assessment, and adaptive teaching tools, the Merdeka Curriculum effectively strengthens Student-Centered Learning and develops the 4C competencies more successfully than previous curricular models</w:t>
      </w:r>
    </w:p>
    <w:p w14:paraId="7E457ADF" w14:textId="2A56D096" w:rsidR="00663950" w:rsidRPr="00370682" w:rsidRDefault="00663950" w:rsidP="00663950">
      <w:pPr>
        <w:pStyle w:val="NormalWeb"/>
        <w:shd w:val="clear" w:color="auto" w:fill="FFFFFF"/>
        <w:spacing w:after="225"/>
        <w:jc w:val="both"/>
        <w:rPr>
          <w:rFonts w:ascii="Cambria" w:hAnsi="Cambria" w:cs="Calibri"/>
          <w:b/>
          <w:bCs/>
          <w:color w:val="000000"/>
          <w:sz w:val="22"/>
          <w:szCs w:val="22"/>
        </w:rPr>
      </w:pPr>
      <w:r w:rsidRPr="00370682">
        <w:rPr>
          <w:rFonts w:ascii="Cambria" w:hAnsi="Cambria" w:cs="Calibri"/>
          <w:b/>
          <w:bCs/>
          <w:color w:val="000000"/>
          <w:sz w:val="22"/>
          <w:szCs w:val="22"/>
        </w:rPr>
        <w:t>Implementation of the Merdeka Curriculum in Educational Settings and Its Influence on Student-Centered Learning</w:t>
      </w:r>
    </w:p>
    <w:p w14:paraId="4A87ADEE" w14:textId="77777777"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The implementation of the Merdeka Curriculum across various educational institutions has shown diverse dynamics; however, most empirical studies published between 2021 and 2025 indicate a positive trend toward strengthening student-centered learning (SCL) practices. Systematic findings from prior SLRs reveal that curriculum flexibility, differentiated instruction, formative assessment, and project-based learning (PjBL) are key factors that enhance students’ active participation, collaboration skills, and reflective capacities. Studies conducted at the elementary, secondary, and higher education levels consistently suggest that the Merdeka Curriculum not only transforms the structure of lesson planning but also reshapes teacher–student interactions, classroom culture, and the design of daily learning activities.</w:t>
      </w:r>
    </w:p>
    <w:p w14:paraId="7009363B" w14:textId="1EB2F289"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Several studies (Talaen et al., 2025; Lestari &amp; Hindun, 2024; Hidayat et al., 2023) show that the Merdeka Curriculum increases student engagement through project-based learning, group discussions, and exploratory activities. The use of PjBL has been found to enhance learners’ creativity, collaboration skills, and confidence in presenting their work. Waruwu (2024) also highlights that formative assessments within the Merdeka Curriculum encourage students to engage in self-reflection and develop a deeper awareness of their learning processes. Other studies (Permana et al., 2023; Yuliana, 2024) indicate that flexible teaching modules support varied instructional strategies tailored to student needs.</w:t>
      </w:r>
    </w:p>
    <w:p w14:paraId="2C726634" w14:textId="5F8CD1D3"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1. </w:t>
      </w:r>
      <w:r w:rsidRPr="00370682">
        <w:rPr>
          <w:rFonts w:ascii="Cambria" w:hAnsi="Cambria" w:cs="Calibri"/>
          <w:bCs/>
          <w:color w:val="000000"/>
          <w:sz w:val="22"/>
          <w:szCs w:val="22"/>
        </w:rPr>
        <w:t>Teacher Competence as a Determining Factor for SCL Success</w:t>
      </w:r>
    </w:p>
    <w:p w14:paraId="7382EB3F" w14:textId="7E81699D"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Teacher competence plays a pivotal role in determining the quality of the Merdeka Curriculum’s implementation. Studies reviewed in the SLR indicate that teachers with strong instructional-planning skills are more successful in facilitating SCL. Teachers capable of managing differentiated instruction, designing diagnostic assessments, and creating contextual projects are more likely to foster participatory and learner-centered classrooms. Conversely, teachers who lack mastery of curriculum tools or remain dependent on lecture-based teaching often struggle to implement SCL effectively. These findings underscore the importance of pedagogical training and ongoing professional development.</w:t>
      </w:r>
    </w:p>
    <w:p w14:paraId="0087BFE9" w14:textId="1A291F07"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2. </w:t>
      </w:r>
      <w:r w:rsidRPr="00370682">
        <w:rPr>
          <w:rFonts w:ascii="Cambria" w:hAnsi="Cambria" w:cs="Calibri"/>
          <w:bCs/>
          <w:color w:val="000000"/>
          <w:sz w:val="22"/>
          <w:szCs w:val="22"/>
        </w:rPr>
        <w:t>School Readiness and Learning Infrastructure</w:t>
      </w:r>
    </w:p>
    <w:p w14:paraId="2DDA716C" w14:textId="0384684A"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School readiness significantly influences the effectiveness of Merdeka Curriculum implementation. Schools equipped with adequate facilities—such as flexible learning spaces, stable internet access, and technological devices—are better positioned to conduct project-</w:t>
      </w:r>
      <w:r w:rsidRPr="00370682">
        <w:rPr>
          <w:rFonts w:ascii="Cambria" w:hAnsi="Cambria" w:cs="Calibri"/>
          <w:color w:val="000000"/>
          <w:sz w:val="22"/>
          <w:szCs w:val="22"/>
        </w:rPr>
        <w:lastRenderedPageBreak/>
        <w:t>based and collaborative activities. Studies by Permana et al. (2023) and Arum (2025) reveal that institutions with innovative cultures and open learning climates tend to adopt SCL more successfully. In contrast, schools in under-resourced regions face challenges, particularly in technology-based activities and collaboration requiring additional support systems.</w:t>
      </w:r>
    </w:p>
    <w:p w14:paraId="303E0DAF" w14:textId="17DA3530"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3. </w:t>
      </w:r>
      <w:r w:rsidRPr="00370682">
        <w:rPr>
          <w:rFonts w:ascii="Cambria" w:hAnsi="Cambria" w:cs="Calibri"/>
          <w:bCs/>
          <w:color w:val="000000"/>
          <w:sz w:val="22"/>
          <w:szCs w:val="22"/>
        </w:rPr>
        <w:t>The Role of Technology in Strengthening SCL</w:t>
      </w:r>
    </w:p>
    <w:p w14:paraId="253E950A" w14:textId="482B8056"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Technology serves as an essential instrument in the implementation of the Merdeka Curriculum. The use of digital learning platforms, learning management systems (LMS), and collaborative applications such as Google Workspace, Padlet, and Canva enables students to engage in independent learning while collaborating virtually. Suyanto (2023) reports that technological integration in PjBL-STEM contributes to improvements in students’ critical thinking and creativity. Digital formative-assessment tools also make it easier for teachers to monitor student progress and provide timely feedback.</w:t>
      </w:r>
    </w:p>
    <w:p w14:paraId="6CE86B42" w14:textId="0F1629AC"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4. </w:t>
      </w:r>
      <w:r w:rsidRPr="00370682">
        <w:rPr>
          <w:rFonts w:ascii="Cambria" w:hAnsi="Cambria" w:cs="Calibri"/>
          <w:bCs/>
          <w:color w:val="000000"/>
          <w:sz w:val="22"/>
          <w:szCs w:val="22"/>
        </w:rPr>
        <w:t>Instructional Leadership</w:t>
      </w:r>
    </w:p>
    <w:p w14:paraId="46391326" w14:textId="2F85B474"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Another determining factor in the successful implementation of the Merdeka Curriculum is instructional leadership from school principals and teacher networks. Principals with progressive educational visions who actively support pedagogical innovation tend to encourage teachers to apply SCL consistently. Several studies included in the SLR also show that collaboration among teachers through MGMP forums or learning communities, strengthens their capacity to implement differentiated instruction and develop creative teaching modules.</w:t>
      </w:r>
    </w:p>
    <w:p w14:paraId="16A06EAD" w14:textId="13FD3C03"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5. </w:t>
      </w:r>
      <w:r w:rsidRPr="00370682">
        <w:rPr>
          <w:rFonts w:ascii="Cambria" w:hAnsi="Cambria" w:cs="Calibri"/>
          <w:bCs/>
          <w:color w:val="000000"/>
          <w:sz w:val="22"/>
          <w:szCs w:val="22"/>
        </w:rPr>
        <w:t>Impact of Implementation</w:t>
      </w:r>
    </w:p>
    <w:p w14:paraId="23C29C78" w14:textId="77777777" w:rsidR="00663950" w:rsidRPr="00370682" w:rsidRDefault="00663950" w:rsidP="00663950">
      <w:pPr>
        <w:pStyle w:val="NormalWeb"/>
        <w:shd w:val="clear" w:color="auto" w:fill="FFFFFF"/>
        <w:spacing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Overall, the findings across multiple studies indicate that the implementation of the Merdeka Curriculum has produced measurable impacts on:</w:t>
      </w:r>
    </w:p>
    <w:p w14:paraId="63A2FD5B" w14:textId="77777777" w:rsidR="00663950" w:rsidRPr="00370682" w:rsidRDefault="00663950" w:rsidP="00663950">
      <w:pPr>
        <w:pStyle w:val="NormalWeb"/>
        <w:numPr>
          <w:ilvl w:val="0"/>
          <w:numId w:val="29"/>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Increased learning activeness</w:t>
      </w:r>
    </w:p>
    <w:p w14:paraId="7BF97537" w14:textId="7EDE6E10" w:rsidR="00663950" w:rsidRPr="00370682" w:rsidRDefault="00663950" w:rsidP="00663950">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Students participate more frequently in discussions, presentations, experiments, and independent exploration.</w:t>
      </w:r>
    </w:p>
    <w:p w14:paraId="1C42729F" w14:textId="77777777" w:rsidR="00663950" w:rsidRPr="00370682" w:rsidRDefault="00663950" w:rsidP="00663950">
      <w:pPr>
        <w:pStyle w:val="NormalWeb"/>
        <w:numPr>
          <w:ilvl w:val="0"/>
          <w:numId w:val="29"/>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Higher engagement and motivation</w:t>
      </w:r>
    </w:p>
    <w:p w14:paraId="2C12C614" w14:textId="3C33EF11" w:rsidR="00663950" w:rsidRPr="00370682" w:rsidRDefault="00663950" w:rsidP="00663950">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Providing choices in differentiated processes and products encourages greater student investment in learning.</w:t>
      </w:r>
    </w:p>
    <w:p w14:paraId="233FFFF1" w14:textId="77777777" w:rsidR="00663950" w:rsidRPr="00370682" w:rsidRDefault="00663950" w:rsidP="00663950">
      <w:pPr>
        <w:pStyle w:val="NormalWeb"/>
        <w:numPr>
          <w:ilvl w:val="0"/>
          <w:numId w:val="29"/>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Strengthened literacy and numeracy</w:t>
      </w:r>
    </w:p>
    <w:p w14:paraId="6745B3EC" w14:textId="694A83E9" w:rsidR="00663950" w:rsidRPr="00370682" w:rsidRDefault="00663950" w:rsidP="00663950">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Project activities and formative assessments support deeper and more contextual conceptual understanding.</w:t>
      </w:r>
    </w:p>
    <w:p w14:paraId="7F7B8230" w14:textId="77777777" w:rsidR="00663950" w:rsidRPr="00370682" w:rsidRDefault="00663950" w:rsidP="00663950">
      <w:pPr>
        <w:pStyle w:val="NormalWeb"/>
        <w:numPr>
          <w:ilvl w:val="0"/>
          <w:numId w:val="29"/>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Improved self-reflection skills</w:t>
      </w:r>
    </w:p>
    <w:p w14:paraId="78144996" w14:textId="403E62B9" w:rsidR="00663950" w:rsidRPr="00370682" w:rsidRDefault="00663950" w:rsidP="00663950">
      <w:pPr>
        <w:pStyle w:val="NormalWeb"/>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color w:val="000000"/>
          <w:sz w:val="22"/>
          <w:szCs w:val="22"/>
        </w:rPr>
        <w:t>Through formative assessment, students are encouraged to evaluate their learning processes and set personal learning goals.</w:t>
      </w:r>
    </w:p>
    <w:p w14:paraId="3D57EC10" w14:textId="77777777" w:rsidR="00663950" w:rsidRPr="00370682" w:rsidRDefault="00663950" w:rsidP="00663950">
      <w:pPr>
        <w:pStyle w:val="NormalWeb"/>
        <w:shd w:val="clear" w:color="auto" w:fill="FFFFFF"/>
        <w:spacing w:before="0" w:beforeAutospacing="0" w:after="225"/>
        <w:jc w:val="both"/>
        <w:rPr>
          <w:rFonts w:ascii="Cambria" w:hAnsi="Cambria" w:cs="Calibri"/>
          <w:color w:val="000000"/>
          <w:sz w:val="22"/>
          <w:szCs w:val="22"/>
        </w:rPr>
      </w:pPr>
      <w:r w:rsidRPr="00370682">
        <w:rPr>
          <w:rFonts w:ascii="Cambria" w:hAnsi="Cambria" w:cs="Calibri"/>
          <w:color w:val="000000"/>
          <w:sz w:val="22"/>
          <w:szCs w:val="22"/>
        </w:rPr>
        <w:t>These findings collectively demonstrate that the Merdeka Curriculum is not merely administrative in nature; rather, it has undergone pedagogical implementation that directly enhances student skill development and reinforces the paradigm of student-centered learning.</w:t>
      </w:r>
    </w:p>
    <w:p w14:paraId="54F43D09" w14:textId="77777777" w:rsidR="00663950" w:rsidRPr="00370682" w:rsidRDefault="00663950" w:rsidP="00663950">
      <w:pPr>
        <w:pStyle w:val="NormalWeb"/>
        <w:shd w:val="clear" w:color="auto" w:fill="FFFFFF"/>
        <w:spacing w:after="225"/>
        <w:jc w:val="both"/>
        <w:rPr>
          <w:rFonts w:ascii="Cambria" w:hAnsi="Cambria" w:cs="Calibri"/>
          <w:b/>
          <w:bCs/>
          <w:color w:val="000000"/>
          <w:sz w:val="22"/>
          <w:szCs w:val="22"/>
        </w:rPr>
      </w:pPr>
      <w:r w:rsidRPr="00370682">
        <w:rPr>
          <w:rFonts w:ascii="Cambria" w:hAnsi="Cambria" w:cs="Calibri"/>
          <w:b/>
          <w:bCs/>
          <w:color w:val="000000"/>
          <w:sz w:val="22"/>
          <w:szCs w:val="22"/>
        </w:rPr>
        <w:t>Implications of the Merdeka Curriculum for Strengthening Student-Centered Learning</w:t>
      </w:r>
    </w:p>
    <w:p w14:paraId="141F5E42" w14:textId="6F9C2565"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 xml:space="preserve">The Merdeka Curriculum does not merely revise curricular documents; it carries substantial theoretical, practical, and policy implications for reinforcing student-centered learning (SCL). It marks a paradigm shift from a teacher-centered model (knowledge transmission) toward a learner-centered approach grounded in constructivist and humanistic principles. Theoretically, this shift positions students as active agents in the learning process—empowered to choose learning pathways, solve authentic problems, and reflect on their </w:t>
      </w:r>
      <w:r w:rsidRPr="00370682">
        <w:rPr>
          <w:rFonts w:ascii="Cambria" w:hAnsi="Cambria" w:cs="Calibri"/>
          <w:color w:val="000000"/>
          <w:sz w:val="22"/>
          <w:szCs w:val="22"/>
        </w:rPr>
        <w:lastRenderedPageBreak/>
        <w:t>learning experiences. Literature findings indicate that this policy transformation aligns with constructivist principles and self-regulated learning; when teachers implement diagnostic assessments and differentiated instruction, students demonstrate enhanced learning autonomy and metacognitive abilities (Noptario, 2024; Pranata, 2024). This shift requires adjustments in learning theory at the practical level: pedagogical models must incorporate authentic tasks, scaffolding, and continuous reflection to cultivate critical and creative capacities (Noptario, 2024; Pranata, 2024).</w:t>
      </w:r>
    </w:p>
    <w:p w14:paraId="126FCBFE" w14:textId="6042E0AA"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1. </w:t>
      </w:r>
      <w:r w:rsidRPr="00370682">
        <w:rPr>
          <w:rFonts w:ascii="Cambria" w:hAnsi="Cambria" w:cs="Calibri"/>
          <w:bCs/>
          <w:color w:val="000000"/>
          <w:sz w:val="22"/>
          <w:szCs w:val="22"/>
        </w:rPr>
        <w:t>Practical Implications</w:t>
      </w:r>
    </w:p>
    <w:p w14:paraId="65F183B9" w14:textId="77777777" w:rsidR="00663950" w:rsidRPr="00370682" w:rsidRDefault="00663950" w:rsidP="00663950">
      <w:pPr>
        <w:pStyle w:val="NormalWeb"/>
        <w:shd w:val="clear" w:color="auto" w:fill="FFFFFF"/>
        <w:spacing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In practical terms, the Merdeka Curriculum necessitates significant changes in instructional practices:</w:t>
      </w:r>
    </w:p>
    <w:p w14:paraId="7D572FBD" w14:textId="087B58EE" w:rsidR="00663950" w:rsidRPr="00370682" w:rsidRDefault="00663950" w:rsidP="00663950">
      <w:pPr>
        <w:pStyle w:val="NormalWeb"/>
        <w:numPr>
          <w:ilvl w:val="0"/>
          <w:numId w:val="31"/>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Teaching strategies</w:t>
      </w:r>
      <w:r w:rsidRPr="00370682">
        <w:rPr>
          <w:rFonts w:ascii="Cambria" w:hAnsi="Cambria" w:cs="Calibri"/>
          <w:color w:val="000000"/>
          <w:sz w:val="22"/>
          <w:szCs w:val="22"/>
        </w:rPr>
        <w:t xml:space="preserve"> — Teachers must master learning-outcome-based planning, design adaptive modules, implement diagnostic and formative assessments, and facilitate PjBL. Evidence from training-based and implementation studies (Tyas Deviana et al., 2024; Damayanti, 2024; Suastra, 2024) shows that structured training and mentoring improve teachers’ readiness to carry out SCL and PjBL effectively.</w:t>
      </w:r>
    </w:p>
    <w:p w14:paraId="14CF5635" w14:textId="277B7D3C" w:rsidR="00663950" w:rsidRPr="00370682" w:rsidRDefault="00663950" w:rsidP="00663950">
      <w:pPr>
        <w:pStyle w:val="NormalWeb"/>
        <w:numPr>
          <w:ilvl w:val="0"/>
          <w:numId w:val="31"/>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School roles</w:t>
      </w:r>
      <w:r w:rsidRPr="00370682">
        <w:rPr>
          <w:rFonts w:ascii="Cambria" w:hAnsi="Cambria" w:cs="Calibri"/>
          <w:color w:val="000000"/>
          <w:sz w:val="22"/>
          <w:szCs w:val="22"/>
        </w:rPr>
        <w:t xml:space="preserve"> — Schools must create physical and organizational environments that support collaborative learning, such as flexible learning spaces, access to technology, and open learning cultures. Schools with innovation-oriented leadership tend to implement SCL more successfully (Farhah, 2024).</w:t>
      </w:r>
    </w:p>
    <w:p w14:paraId="144BFCFD" w14:textId="7074C757" w:rsidR="00663950" w:rsidRPr="00370682" w:rsidRDefault="00663950" w:rsidP="00663950">
      <w:pPr>
        <w:pStyle w:val="NormalWeb"/>
        <w:numPr>
          <w:ilvl w:val="0"/>
          <w:numId w:val="31"/>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New learning culture</w:t>
      </w:r>
      <w:r w:rsidRPr="00370682">
        <w:rPr>
          <w:rFonts w:ascii="Cambria" w:hAnsi="Cambria" w:cs="Calibri"/>
          <w:color w:val="000000"/>
          <w:sz w:val="22"/>
          <w:szCs w:val="22"/>
        </w:rPr>
        <w:t xml:space="preserve"> — A shift from valuing memorization to valuing process-oriented learning: discussion, projects, reflection, and authentic assessment. Field evidence reports increased student engagement and participation when these approaches are implemented consistently (Permana et al., 2023; Yuliana, 2024).</w:t>
      </w:r>
    </w:p>
    <w:p w14:paraId="42353A78" w14:textId="64C4643D"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2. </w:t>
      </w:r>
      <w:r w:rsidRPr="00370682">
        <w:rPr>
          <w:rFonts w:ascii="Cambria" w:hAnsi="Cambria" w:cs="Calibri"/>
          <w:bCs/>
          <w:color w:val="000000"/>
          <w:sz w:val="22"/>
          <w:szCs w:val="22"/>
        </w:rPr>
        <w:t>Policy Implications</w:t>
      </w:r>
    </w:p>
    <w:p w14:paraId="0F10EF27" w14:textId="77777777" w:rsidR="00663950" w:rsidRPr="00370682" w:rsidRDefault="00663950" w:rsidP="00663950">
      <w:pPr>
        <w:pStyle w:val="NormalWeb"/>
        <w:shd w:val="clear" w:color="auto" w:fill="FFFFFF"/>
        <w:spacing w:before="0" w:beforeAutospacing="0" w:after="0" w:afterAutospacing="0"/>
        <w:ind w:firstLine="720"/>
        <w:jc w:val="both"/>
        <w:rPr>
          <w:rFonts w:ascii="Cambria" w:hAnsi="Cambria" w:cs="Calibri"/>
          <w:color w:val="000000"/>
          <w:sz w:val="22"/>
          <w:szCs w:val="22"/>
        </w:rPr>
      </w:pPr>
      <w:r w:rsidRPr="00370682">
        <w:rPr>
          <w:rFonts w:ascii="Cambria" w:hAnsi="Cambria" w:cs="Calibri"/>
          <w:color w:val="000000"/>
          <w:sz w:val="22"/>
          <w:szCs w:val="22"/>
        </w:rPr>
        <w:t>For SCL to function optimally, policy implications must be operational and structural:</w:t>
      </w:r>
    </w:p>
    <w:p w14:paraId="17B371AE" w14:textId="27A8BE1C" w:rsidR="00663950" w:rsidRPr="00370682" w:rsidRDefault="00663950" w:rsidP="00663950">
      <w:pPr>
        <w:pStyle w:val="NormalWeb"/>
        <w:numPr>
          <w:ilvl w:val="0"/>
          <w:numId w:val="33"/>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Continuous professional development</w:t>
      </w:r>
      <w:r w:rsidRPr="00370682">
        <w:rPr>
          <w:rFonts w:ascii="Cambria" w:hAnsi="Cambria" w:cs="Calibri"/>
          <w:color w:val="000000"/>
          <w:sz w:val="22"/>
          <w:szCs w:val="22"/>
        </w:rPr>
        <w:t xml:space="preserve"> — Training should focus on CP-based lesson planning, diagnostic assessment, PjBL, and differentiation. Evaluations from various training programs show that patterned training (workshops combined with on-site mentoring) is more effective than short, isolated workshops (Mujianto, 2025; Suastra, 2024).</w:t>
      </w:r>
    </w:p>
    <w:p w14:paraId="5A1CD0C3" w14:textId="1ADF8A09" w:rsidR="00663950" w:rsidRPr="00370682" w:rsidRDefault="00663950" w:rsidP="00663950">
      <w:pPr>
        <w:pStyle w:val="NormalWeb"/>
        <w:numPr>
          <w:ilvl w:val="0"/>
          <w:numId w:val="33"/>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Intensive mentoring</w:t>
      </w:r>
      <w:r w:rsidRPr="00370682">
        <w:rPr>
          <w:rFonts w:ascii="Cambria" w:hAnsi="Cambria" w:cs="Calibri"/>
          <w:color w:val="000000"/>
          <w:sz w:val="22"/>
          <w:szCs w:val="22"/>
        </w:rPr>
        <w:t xml:space="preserve"> — School-to-school mentoring, in-class coaching, and the establishment of teacher learning communities (PLC/MGMP) are essential for consistent implementation (Damayanti, 2024; Pranata, 2024).</w:t>
      </w:r>
    </w:p>
    <w:p w14:paraId="1E81BDA8" w14:textId="0CBF4D05" w:rsidR="00663950" w:rsidRPr="00370682" w:rsidRDefault="00663950" w:rsidP="00663950">
      <w:pPr>
        <w:pStyle w:val="NormalWeb"/>
        <w:numPr>
          <w:ilvl w:val="0"/>
          <w:numId w:val="33"/>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Open teaching resources and contextualized modules</w:t>
      </w:r>
      <w:r w:rsidRPr="00370682">
        <w:rPr>
          <w:rFonts w:ascii="Cambria" w:hAnsi="Cambria" w:cs="Calibri"/>
          <w:color w:val="000000"/>
          <w:sz w:val="22"/>
          <w:szCs w:val="22"/>
        </w:rPr>
        <w:t xml:space="preserve"> — The availability of flexible, easily adaptable teaching modules facilitates differentiation and supports PjBL suited to local contexts (Permana et al., 2023).</w:t>
      </w:r>
    </w:p>
    <w:p w14:paraId="578EA621" w14:textId="6B73E543" w:rsidR="00663950" w:rsidRPr="00370682" w:rsidRDefault="00663950" w:rsidP="00663950">
      <w:pPr>
        <w:pStyle w:val="NormalWeb"/>
        <w:numPr>
          <w:ilvl w:val="0"/>
          <w:numId w:val="33"/>
        </w:numPr>
        <w:shd w:val="clear" w:color="auto" w:fill="FFFFFF"/>
        <w:spacing w:before="0" w:beforeAutospacing="0" w:after="0" w:afterAutospacing="0"/>
        <w:ind w:left="450"/>
        <w:jc w:val="both"/>
        <w:rPr>
          <w:rFonts w:ascii="Cambria" w:hAnsi="Cambria" w:cs="Calibri"/>
          <w:color w:val="000000"/>
          <w:sz w:val="22"/>
          <w:szCs w:val="22"/>
        </w:rPr>
      </w:pPr>
      <w:r w:rsidRPr="00370682">
        <w:rPr>
          <w:rFonts w:ascii="Cambria" w:hAnsi="Cambria" w:cs="Calibri"/>
          <w:bCs/>
          <w:color w:val="000000"/>
          <w:sz w:val="22"/>
          <w:szCs w:val="22"/>
        </w:rPr>
        <w:t>Evidence-based monitoring</w:t>
      </w:r>
      <w:r w:rsidRPr="00370682">
        <w:rPr>
          <w:rFonts w:ascii="Cambria" w:hAnsi="Cambria" w:cs="Calibri"/>
          <w:color w:val="000000"/>
          <w:sz w:val="22"/>
          <w:szCs w:val="22"/>
        </w:rPr>
        <w:t xml:space="preserve"> — Policy frameworks should include indicators of process quality (engagement, collaboration, creativity) in addition to traditional academic outcomes.</w:t>
      </w:r>
    </w:p>
    <w:p w14:paraId="16882213" w14:textId="2756D1E2" w:rsidR="00663950" w:rsidRPr="00370682" w:rsidRDefault="00663950" w:rsidP="00663950">
      <w:pPr>
        <w:pStyle w:val="NormalWeb"/>
        <w:shd w:val="clear" w:color="auto" w:fill="FFFFFF"/>
        <w:spacing w:after="225"/>
        <w:jc w:val="both"/>
        <w:rPr>
          <w:rFonts w:ascii="Cambria" w:hAnsi="Cambria" w:cs="Calibri"/>
          <w:bCs/>
          <w:color w:val="000000"/>
          <w:sz w:val="22"/>
          <w:szCs w:val="22"/>
        </w:rPr>
      </w:pPr>
      <w:r w:rsidRPr="00370682">
        <w:rPr>
          <w:rFonts w:ascii="Cambria" w:hAnsi="Cambria" w:cs="Calibri"/>
          <w:bCs/>
          <w:color w:val="000000"/>
          <w:sz w:val="22"/>
          <w:szCs w:val="22"/>
          <w:lang w:val="id-ID"/>
        </w:rPr>
        <w:t xml:space="preserve">3. </w:t>
      </w:r>
      <w:r w:rsidRPr="00370682">
        <w:rPr>
          <w:rFonts w:ascii="Cambria" w:hAnsi="Cambria" w:cs="Calibri"/>
          <w:bCs/>
          <w:color w:val="000000"/>
          <w:sz w:val="22"/>
          <w:szCs w:val="22"/>
        </w:rPr>
        <w:t>Implications for Islamic Education Contexts (Madrasah and Pesantren)</w:t>
      </w:r>
    </w:p>
    <w:p w14:paraId="7F8FDD75" w14:textId="77777777"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Islamic education environments present unique challenges and opportunities in adopting the Merdeka Curriculum with SCL principles. Studies in pesantren and madrasah indicate:</w:t>
      </w:r>
    </w:p>
    <w:p w14:paraId="4D2FD84D" w14:textId="724A4EDB" w:rsidR="00663950" w:rsidRPr="00370682" w:rsidRDefault="00663950" w:rsidP="00663950">
      <w:pPr>
        <w:pStyle w:val="NormalWeb"/>
        <w:numPr>
          <w:ilvl w:val="0"/>
          <w:numId w:val="35"/>
        </w:numPr>
        <w:shd w:val="clear" w:color="auto" w:fill="FFFFFF"/>
        <w:spacing w:after="225"/>
        <w:ind w:left="450"/>
        <w:jc w:val="both"/>
        <w:rPr>
          <w:rFonts w:ascii="Cambria" w:hAnsi="Cambria" w:cs="Calibri"/>
          <w:color w:val="000000"/>
          <w:sz w:val="22"/>
          <w:szCs w:val="22"/>
        </w:rPr>
      </w:pPr>
      <w:r w:rsidRPr="00370682">
        <w:rPr>
          <w:rFonts w:ascii="Cambria" w:hAnsi="Cambria" w:cs="Calibri"/>
          <w:bCs/>
          <w:color w:val="000000"/>
          <w:sz w:val="22"/>
          <w:szCs w:val="22"/>
        </w:rPr>
        <w:t>Value alignment</w:t>
      </w:r>
      <w:r w:rsidRPr="00370682">
        <w:rPr>
          <w:rFonts w:ascii="Cambria" w:hAnsi="Cambria" w:cs="Calibri"/>
          <w:color w:val="000000"/>
          <w:sz w:val="22"/>
          <w:szCs w:val="22"/>
        </w:rPr>
        <w:t xml:space="preserve"> — The Merdeka Curriculum provides opportunities to integrate Islamic values into contextual projects, allowing learning to remain religiously grounded while still developing 4C competencies (Rachman, 2024; Jailani, 2022).</w:t>
      </w:r>
    </w:p>
    <w:p w14:paraId="3F89D31F" w14:textId="0010D6DC" w:rsidR="00663950" w:rsidRPr="00370682" w:rsidRDefault="00663950" w:rsidP="00663950">
      <w:pPr>
        <w:pStyle w:val="NormalWeb"/>
        <w:numPr>
          <w:ilvl w:val="0"/>
          <w:numId w:val="35"/>
        </w:numPr>
        <w:shd w:val="clear" w:color="auto" w:fill="FFFFFF"/>
        <w:spacing w:after="225"/>
        <w:ind w:left="450"/>
        <w:jc w:val="both"/>
        <w:rPr>
          <w:rFonts w:ascii="Cambria" w:hAnsi="Cambria" w:cs="Calibri"/>
          <w:color w:val="000000"/>
          <w:sz w:val="22"/>
          <w:szCs w:val="22"/>
        </w:rPr>
      </w:pPr>
      <w:r w:rsidRPr="00370682">
        <w:rPr>
          <w:rFonts w:ascii="Cambria" w:hAnsi="Cambria" w:cs="Calibri"/>
          <w:bCs/>
          <w:color w:val="000000"/>
          <w:sz w:val="22"/>
          <w:szCs w:val="22"/>
        </w:rPr>
        <w:lastRenderedPageBreak/>
        <w:t>Curriculum adaptation in pesantren</w:t>
      </w:r>
      <w:r w:rsidRPr="00370682">
        <w:rPr>
          <w:rFonts w:ascii="Cambria" w:hAnsi="Cambria" w:cs="Calibri"/>
          <w:color w:val="000000"/>
          <w:sz w:val="22"/>
          <w:szCs w:val="22"/>
        </w:rPr>
        <w:t xml:space="preserve"> — Field studies report successful integration between the Merdeka Curriculum and pesantren curricula (e.g., incorporating tadabbur activities or strengthening akhlak through social projects). However, these require methodological adjustments to ensure alignment with kitab kuning traditions (Kurnia, 2025; Rachman, 2024).</w:t>
      </w:r>
    </w:p>
    <w:p w14:paraId="25751B3D" w14:textId="210F5937" w:rsidR="00663950" w:rsidRPr="00370682" w:rsidRDefault="00663950" w:rsidP="00663950">
      <w:pPr>
        <w:pStyle w:val="NormalWeb"/>
        <w:numPr>
          <w:ilvl w:val="0"/>
          <w:numId w:val="35"/>
        </w:numPr>
        <w:shd w:val="clear" w:color="auto" w:fill="FFFFFF"/>
        <w:spacing w:after="225"/>
        <w:ind w:left="450"/>
        <w:jc w:val="both"/>
        <w:rPr>
          <w:rFonts w:ascii="Cambria" w:hAnsi="Cambria" w:cs="Calibri"/>
          <w:color w:val="000000"/>
          <w:sz w:val="22"/>
          <w:szCs w:val="22"/>
        </w:rPr>
      </w:pPr>
      <w:r w:rsidRPr="00370682">
        <w:rPr>
          <w:rFonts w:ascii="Cambria" w:hAnsi="Cambria" w:cs="Calibri"/>
          <w:bCs/>
          <w:color w:val="000000"/>
          <w:sz w:val="22"/>
          <w:szCs w:val="22"/>
        </w:rPr>
        <w:t>Capacity building for teachers and mubaligh</w:t>
      </w:r>
      <w:r w:rsidRPr="00370682">
        <w:rPr>
          <w:rFonts w:ascii="Cambria" w:hAnsi="Cambria" w:cs="Calibri"/>
          <w:color w:val="000000"/>
          <w:sz w:val="22"/>
          <w:szCs w:val="22"/>
        </w:rPr>
        <w:t xml:space="preserve"> — Pedagogical mentoring is crucial for ustadz/ustadzah to transition from predominantly lecture-based methods to facilitator roles aligned with SCL (Ramadhan, 2024; Lailiyah, 2023).</w:t>
      </w:r>
    </w:p>
    <w:p w14:paraId="18A2B7DF" w14:textId="64DE5BA9" w:rsidR="00663950" w:rsidRPr="00370682" w:rsidRDefault="00663950" w:rsidP="00663950">
      <w:pPr>
        <w:pStyle w:val="NormalWeb"/>
        <w:numPr>
          <w:ilvl w:val="0"/>
          <w:numId w:val="35"/>
        </w:numPr>
        <w:shd w:val="clear" w:color="auto" w:fill="FFFFFF"/>
        <w:spacing w:after="225"/>
        <w:ind w:left="450"/>
        <w:jc w:val="both"/>
        <w:rPr>
          <w:rFonts w:ascii="Cambria" w:hAnsi="Cambria" w:cs="Calibri"/>
          <w:color w:val="000000"/>
          <w:sz w:val="22"/>
          <w:szCs w:val="22"/>
        </w:rPr>
      </w:pPr>
      <w:r w:rsidRPr="00370682">
        <w:rPr>
          <w:rFonts w:ascii="Cambria" w:hAnsi="Cambria" w:cs="Calibri"/>
          <w:bCs/>
          <w:color w:val="000000"/>
          <w:sz w:val="22"/>
          <w:szCs w:val="22"/>
        </w:rPr>
        <w:t>Infrastructure limitations</w:t>
      </w:r>
      <w:r w:rsidRPr="00370682">
        <w:rPr>
          <w:rFonts w:ascii="Cambria" w:hAnsi="Cambria" w:cs="Calibri"/>
          <w:color w:val="000000"/>
          <w:sz w:val="22"/>
          <w:szCs w:val="22"/>
        </w:rPr>
        <w:t xml:space="preserve"> — Pesantren with limited digital infrastructure require adaptive strategies (e.g., non-digital PjBL, localized enrichment activities) to implement SCL effectively.</w:t>
      </w:r>
    </w:p>
    <w:p w14:paraId="3574AF25" w14:textId="77777777" w:rsidR="00663950" w:rsidRPr="00370682" w:rsidRDefault="00663950" w:rsidP="00663950">
      <w:pPr>
        <w:pStyle w:val="NormalWeb"/>
        <w:shd w:val="clear" w:color="auto" w:fill="FFFFFF"/>
        <w:spacing w:after="225"/>
        <w:ind w:firstLine="720"/>
        <w:jc w:val="both"/>
        <w:rPr>
          <w:rFonts w:ascii="Cambria" w:hAnsi="Cambria" w:cs="Calibri"/>
          <w:color w:val="000000"/>
          <w:sz w:val="22"/>
          <w:szCs w:val="22"/>
        </w:rPr>
      </w:pPr>
      <w:r w:rsidRPr="00370682">
        <w:rPr>
          <w:rFonts w:ascii="Cambria" w:hAnsi="Cambria" w:cs="Calibri"/>
          <w:color w:val="000000"/>
          <w:sz w:val="22"/>
          <w:szCs w:val="22"/>
        </w:rPr>
        <w:t>In essence, the Merdeka Curriculum offers a distinctive innovation for Islamic education: the integration of religious values into SCL practices, enabling a hybrid pedagogical model that retains Islamic traditions while embracing twenty-first-century educational paradigms—provided that training, contextual modules, and targeted mentoring are adequately supported (Kurnia, 2025; Rachman, 2024; Jailani, 2022).</w:t>
      </w:r>
    </w:p>
    <w:p w14:paraId="0FC7FACD" w14:textId="6333A16C" w:rsidR="009146E3" w:rsidRPr="00370682" w:rsidRDefault="003E5E5F" w:rsidP="005D4B3B">
      <w:pPr>
        <w:pStyle w:val="HD-1"/>
        <w:spacing w:after="240" w:line="240" w:lineRule="auto"/>
        <w:rPr>
          <w:rFonts w:ascii="Cambria" w:hAnsi="Cambria" w:cs="Calibri"/>
          <w:lang w:val="en-GB"/>
        </w:rPr>
      </w:pPr>
      <w:r w:rsidRPr="00370682">
        <w:rPr>
          <w:rFonts w:ascii="Cambria" w:hAnsi="Cambria" w:cs="Calibri"/>
          <w:lang w:val="id-ID"/>
        </w:rPr>
        <w:t>Conclusion</w:t>
      </w:r>
    </w:p>
    <w:p w14:paraId="7A7000CD" w14:textId="77777777" w:rsidR="00155009" w:rsidRPr="00370682" w:rsidRDefault="00155009" w:rsidP="00155009">
      <w:pPr>
        <w:pStyle w:val="NormalWeb"/>
        <w:shd w:val="clear" w:color="auto" w:fill="FFFFFF"/>
        <w:spacing w:before="0" w:beforeAutospacing="0" w:after="225" w:afterAutospacing="0"/>
        <w:ind w:firstLine="720"/>
        <w:jc w:val="both"/>
        <w:rPr>
          <w:rFonts w:ascii="Cambria" w:hAnsi="Cambria" w:cs="Calibri"/>
          <w:color w:val="000000"/>
          <w:sz w:val="22"/>
          <w:szCs w:val="22"/>
        </w:rPr>
      </w:pPr>
      <w:r w:rsidRPr="00370682">
        <w:rPr>
          <w:rFonts w:ascii="Cambria" w:hAnsi="Cambria" w:cs="Calibri"/>
          <w:color w:val="000000"/>
          <w:sz w:val="22"/>
          <w:szCs w:val="22"/>
        </w:rPr>
        <w:t>The Merdeka Curriculum, with its student-centered learning paradigm, brings significant implications for the transformation of Islamic education in Indonesia. Through more flexible approaches, methods, and learning strategies, students are no longer positioned merely as recipients of knowledge but as active agents who construct their own learning experiences. Models such as Problem-Based Learning, Project-Based Learning, and Deep Learning have been shown to enrich Islamic Education (PAI) not only in the cognitive domain but also in the affective and psychomotor domains. Moreover, the strengthening of Islamic character, the development of twenty-first-century skills, and the increased relevance of learning to real-life contexts make Islamic education more meaningful and more adaptive to contemporary demands.</w:t>
      </w:r>
    </w:p>
    <w:p w14:paraId="099D02B3" w14:textId="6440E3D7" w:rsidR="00E6017D" w:rsidRPr="00370682" w:rsidRDefault="00155009" w:rsidP="00155009">
      <w:pPr>
        <w:pStyle w:val="NormalWeb"/>
        <w:shd w:val="clear" w:color="auto" w:fill="FFFFFF"/>
        <w:spacing w:before="0" w:beforeAutospacing="0" w:after="225" w:afterAutospacing="0"/>
        <w:ind w:firstLine="720"/>
        <w:jc w:val="both"/>
        <w:rPr>
          <w:rFonts w:ascii="Cambria" w:hAnsi="Cambria" w:cs="Calibri"/>
          <w:color w:val="000000"/>
          <w:sz w:val="22"/>
          <w:szCs w:val="22"/>
        </w:rPr>
      </w:pPr>
      <w:r w:rsidRPr="00370682">
        <w:rPr>
          <w:rFonts w:ascii="Cambria" w:hAnsi="Cambria" w:cs="Calibri"/>
          <w:color w:val="000000"/>
          <w:sz w:val="22"/>
          <w:szCs w:val="22"/>
        </w:rPr>
        <w:t>Nevertheless, the implementation of this curriculum is not without challenges, including teacher readiness, limited infrastructure, and the persistence of traditional learning cultures. Therefore, the success of the Merdeka Curriculum depends heavily on the synergy among multiple stakeholders: teachers who continuously develop their professional capacities, schools that provide supportive learning environments, and consistent support from the government and community. If these challenges can be addressed effectively, Islamic education holds strong potential to produce a generation that is intellectually capable, morally grounded, critical, creative, and globally competitive without losing its Islamic identity. Thus, the Merdeka Curriculum is not merely a technical policy but a foundational step toward achieving high-quality and character-driven Islamic education.</w:t>
      </w:r>
    </w:p>
    <w:p w14:paraId="7B73CDAB" w14:textId="5C2EE939" w:rsidR="009146E3" w:rsidRPr="00370682" w:rsidRDefault="0064122A" w:rsidP="005D4B3B">
      <w:pPr>
        <w:pStyle w:val="HD-1"/>
        <w:spacing w:after="240" w:line="240" w:lineRule="auto"/>
        <w:jc w:val="both"/>
        <w:rPr>
          <w:rFonts w:ascii="Cambria" w:hAnsi="Cambria" w:cs="Calibri"/>
        </w:rPr>
      </w:pPr>
      <w:r w:rsidRPr="00370682">
        <w:rPr>
          <w:rFonts w:ascii="Cambria" w:hAnsi="Cambria" w:cs="Calibri"/>
        </w:rPr>
        <w:t>References</w:t>
      </w:r>
    </w:p>
    <w:p w14:paraId="418E4F33"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 xml:space="preserve">Arifin, M., Umar, M., &amp; Siregar, A. H. (2024). </w:t>
      </w:r>
      <w:r w:rsidRPr="00370682">
        <w:rPr>
          <w:rFonts w:ascii="Cambria" w:hAnsi="Cambria" w:cs="Calibri"/>
          <w:sz w:val="22"/>
          <w:szCs w:val="22"/>
          <w:lang w:val="sv-SE"/>
        </w:rPr>
        <w:t>Model-model pembelajaran di era 4.0 dan disrupsi dalam implementasi. </w:t>
      </w:r>
      <w:r w:rsidRPr="00370682">
        <w:rPr>
          <w:rFonts w:ascii="Cambria" w:hAnsi="Cambria" w:cs="Calibri"/>
          <w:i/>
          <w:iCs/>
          <w:sz w:val="22"/>
          <w:szCs w:val="22"/>
          <w:lang w:val="en-ID"/>
        </w:rPr>
        <w:t>Journal on Education</w:t>
      </w:r>
      <w:r w:rsidRPr="00370682">
        <w:rPr>
          <w:rFonts w:ascii="Cambria" w:hAnsi="Cambria" w:cs="Calibri"/>
          <w:sz w:val="22"/>
          <w:szCs w:val="22"/>
          <w:lang w:val="en-ID"/>
        </w:rPr>
        <w:t>, </w:t>
      </w:r>
      <w:r w:rsidRPr="00370682">
        <w:rPr>
          <w:rFonts w:ascii="Cambria" w:hAnsi="Cambria" w:cs="Calibri"/>
          <w:i/>
          <w:iCs/>
          <w:sz w:val="22"/>
          <w:szCs w:val="22"/>
          <w:lang w:val="en-ID"/>
        </w:rPr>
        <w:t>6</w:t>
      </w:r>
      <w:r w:rsidRPr="00370682">
        <w:rPr>
          <w:rFonts w:ascii="Cambria" w:hAnsi="Cambria" w:cs="Calibri"/>
          <w:sz w:val="22"/>
          <w:szCs w:val="22"/>
          <w:lang w:val="en-ID"/>
        </w:rPr>
        <w:t>(02), 11110-11119.</w:t>
      </w:r>
    </w:p>
    <w:p w14:paraId="0B813AA9"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rPr>
        <w:t xml:space="preserve">Arum, V. P. (2025). Teaching English as a Foreign Language melalui kerangka Kurikulum Merdeka: Empat C (Critical Thinking, Communication, Collaboration, Creativity). </w:t>
      </w:r>
      <w:r w:rsidRPr="00370682">
        <w:rPr>
          <w:rFonts w:ascii="Cambria" w:hAnsi="Cambria" w:cs="Calibri"/>
          <w:i/>
          <w:iCs/>
          <w:sz w:val="22"/>
          <w:szCs w:val="22"/>
        </w:rPr>
        <w:t>JETLE: Jurnal English Teaching &amp; Learning Education</w:t>
      </w:r>
      <w:r w:rsidRPr="00370682">
        <w:rPr>
          <w:rFonts w:ascii="Cambria" w:hAnsi="Cambria" w:cs="Calibri"/>
          <w:sz w:val="22"/>
          <w:szCs w:val="22"/>
        </w:rPr>
        <w:t xml:space="preserve">, </w:t>
      </w:r>
      <w:r w:rsidRPr="00370682">
        <w:rPr>
          <w:rFonts w:ascii="Cambria" w:hAnsi="Cambria" w:cs="Calibri"/>
          <w:bCs/>
          <w:sz w:val="22"/>
          <w:szCs w:val="22"/>
        </w:rPr>
        <w:t>3</w:t>
      </w:r>
      <w:r w:rsidRPr="00370682">
        <w:rPr>
          <w:rFonts w:ascii="Cambria" w:hAnsi="Cambria" w:cs="Calibri"/>
          <w:sz w:val="22"/>
          <w:szCs w:val="22"/>
        </w:rPr>
        <w:t>(1), 22–35.</w:t>
      </w:r>
    </w:p>
    <w:p w14:paraId="77B424C8"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 xml:space="preserve">Aswati, F., &amp; Anwar, A. (2025). </w:t>
      </w:r>
      <w:r w:rsidRPr="00370682">
        <w:rPr>
          <w:rFonts w:ascii="Cambria" w:hAnsi="Cambria" w:cs="Calibri"/>
          <w:sz w:val="22"/>
          <w:szCs w:val="22"/>
          <w:lang w:val="sv-SE"/>
        </w:rPr>
        <w:t>Metode Tilawah Dan Tadabbur Dalam Meningkatkan Pemahaman Alquran Di Kalangan Pelajar. </w:t>
      </w:r>
      <w:r w:rsidRPr="00370682">
        <w:rPr>
          <w:rFonts w:ascii="Cambria" w:hAnsi="Cambria" w:cs="Calibri"/>
          <w:i/>
          <w:iCs/>
          <w:sz w:val="22"/>
          <w:szCs w:val="22"/>
          <w:lang w:val="en-ID"/>
        </w:rPr>
        <w:t>Jurnal Al Basirah</w:t>
      </w:r>
      <w:r w:rsidRPr="00370682">
        <w:rPr>
          <w:rFonts w:ascii="Cambria" w:hAnsi="Cambria" w:cs="Calibri"/>
          <w:sz w:val="22"/>
          <w:szCs w:val="22"/>
          <w:lang w:val="en-ID"/>
        </w:rPr>
        <w:t>, </w:t>
      </w:r>
      <w:r w:rsidRPr="00370682">
        <w:rPr>
          <w:rFonts w:ascii="Cambria" w:hAnsi="Cambria" w:cs="Calibri"/>
          <w:i/>
          <w:iCs/>
          <w:sz w:val="22"/>
          <w:szCs w:val="22"/>
          <w:lang w:val="en-ID"/>
        </w:rPr>
        <w:t>5</w:t>
      </w:r>
      <w:r w:rsidRPr="00370682">
        <w:rPr>
          <w:rFonts w:ascii="Cambria" w:hAnsi="Cambria" w:cs="Calibri"/>
          <w:sz w:val="22"/>
          <w:szCs w:val="22"/>
          <w:lang w:val="en-ID"/>
        </w:rPr>
        <w:t>(1), 19-31.</w:t>
      </w:r>
    </w:p>
    <w:p w14:paraId="54F4001F"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Awwaliyah, N. K., &amp; Fatimah, M. (2024). Implementasi Student Centered Learning pada Mata Pelajaran PAI Kelas IX SMP Insan Cendekia Boarding School Sukoharjo. </w:t>
      </w:r>
      <w:r w:rsidRPr="00370682">
        <w:rPr>
          <w:rFonts w:ascii="Cambria" w:hAnsi="Cambria" w:cs="Calibri"/>
          <w:i/>
          <w:iCs/>
          <w:sz w:val="22"/>
          <w:szCs w:val="22"/>
          <w:lang w:val="en-ID"/>
        </w:rPr>
        <w:t>Jurnal Pendidikan dan Pembelajaran Indonesia (JPPI)</w:t>
      </w:r>
      <w:r w:rsidRPr="00370682">
        <w:rPr>
          <w:rFonts w:ascii="Cambria" w:hAnsi="Cambria" w:cs="Calibri"/>
          <w:sz w:val="22"/>
          <w:szCs w:val="22"/>
          <w:lang w:val="en-ID"/>
        </w:rPr>
        <w:t>, </w:t>
      </w:r>
      <w:r w:rsidRPr="00370682">
        <w:rPr>
          <w:rFonts w:ascii="Cambria" w:hAnsi="Cambria" w:cs="Calibri"/>
          <w:i/>
          <w:iCs/>
          <w:sz w:val="22"/>
          <w:szCs w:val="22"/>
          <w:lang w:val="en-ID"/>
        </w:rPr>
        <w:t>4</w:t>
      </w:r>
      <w:r w:rsidRPr="00370682">
        <w:rPr>
          <w:rFonts w:ascii="Cambria" w:hAnsi="Cambria" w:cs="Calibri"/>
          <w:sz w:val="22"/>
          <w:szCs w:val="22"/>
          <w:lang w:val="en-ID"/>
        </w:rPr>
        <w:t>(3), Hlm 1090.</w:t>
      </w:r>
    </w:p>
    <w:p w14:paraId="2FB57BA8" w14:textId="77777777" w:rsidR="00155009" w:rsidRPr="00370682" w:rsidRDefault="00155009" w:rsidP="00895BE6">
      <w:pPr>
        <w:pStyle w:val="FootnoteText"/>
        <w:ind w:left="720" w:hanging="720"/>
        <w:jc w:val="both"/>
        <w:rPr>
          <w:rFonts w:ascii="Cambria" w:hAnsi="Cambria" w:cs="Calibri"/>
          <w:sz w:val="22"/>
          <w:szCs w:val="22"/>
        </w:rPr>
      </w:pPr>
      <w:r w:rsidRPr="00370682">
        <w:rPr>
          <w:rFonts w:ascii="Cambria" w:hAnsi="Cambria" w:cs="Calibri"/>
          <w:sz w:val="22"/>
          <w:szCs w:val="22"/>
        </w:rPr>
        <w:lastRenderedPageBreak/>
        <w:t xml:space="preserve">Damayanti, R. (2024). Pendampingan implementasi Kurikulum Merdeka Belajar di sekolah menengah: Studi kasus dan rekomendasi praktis. </w:t>
      </w:r>
      <w:r w:rsidRPr="00370682">
        <w:rPr>
          <w:rFonts w:ascii="Cambria" w:hAnsi="Cambria" w:cs="Calibri"/>
          <w:i/>
          <w:iCs/>
          <w:sz w:val="22"/>
          <w:szCs w:val="22"/>
        </w:rPr>
        <w:t>JPM Widina</w:t>
      </w:r>
      <w:r w:rsidRPr="00370682">
        <w:rPr>
          <w:rFonts w:ascii="Cambria" w:hAnsi="Cambria" w:cs="Calibri"/>
          <w:sz w:val="22"/>
          <w:szCs w:val="22"/>
        </w:rPr>
        <w:t xml:space="preserve">, </w:t>
      </w:r>
      <w:r w:rsidRPr="00370682">
        <w:rPr>
          <w:rFonts w:ascii="Cambria" w:hAnsi="Cambria" w:cs="Calibri"/>
          <w:bCs/>
          <w:sz w:val="22"/>
          <w:szCs w:val="22"/>
        </w:rPr>
        <w:t>4</w:t>
      </w:r>
      <w:r w:rsidRPr="00370682">
        <w:rPr>
          <w:rFonts w:ascii="Cambria" w:hAnsi="Cambria" w:cs="Calibri"/>
          <w:sz w:val="22"/>
          <w:szCs w:val="22"/>
        </w:rPr>
        <w:t>(3), 125–134.</w:t>
      </w:r>
    </w:p>
    <w:p w14:paraId="6055A011"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rPr>
        <w:t xml:space="preserve">Deviana, T., Ikhwanudin, M., &amp; Sari, F. (2024). Pelatihan dan pengembangan modul ajar untuk implementasi Kurikulum Merdeka di MI Muhammadiyah 2 Pendil. </w:t>
      </w:r>
      <w:r w:rsidRPr="00370682">
        <w:rPr>
          <w:rFonts w:ascii="Cambria" w:hAnsi="Cambria" w:cs="Calibri"/>
          <w:i/>
          <w:iCs/>
          <w:sz w:val="22"/>
          <w:szCs w:val="22"/>
          <w:lang w:val="sv-SE"/>
        </w:rPr>
        <w:t>JPdM: Jurnal Pendidikan Muhammadiyah</w:t>
      </w:r>
      <w:r w:rsidRPr="00370682">
        <w:rPr>
          <w:rFonts w:ascii="Cambria" w:hAnsi="Cambria" w:cs="Calibri"/>
          <w:sz w:val="22"/>
          <w:szCs w:val="22"/>
          <w:lang w:val="sv-SE"/>
        </w:rPr>
        <w:t xml:space="preserve">, </w:t>
      </w:r>
      <w:r w:rsidRPr="00370682">
        <w:rPr>
          <w:rFonts w:ascii="Cambria" w:hAnsi="Cambria" w:cs="Calibri"/>
          <w:bCs/>
          <w:sz w:val="22"/>
          <w:szCs w:val="22"/>
          <w:lang w:val="sv-SE"/>
        </w:rPr>
        <w:t>7</w:t>
      </w:r>
      <w:r w:rsidRPr="00370682">
        <w:rPr>
          <w:rFonts w:ascii="Cambria" w:hAnsi="Cambria" w:cs="Calibri"/>
          <w:sz w:val="22"/>
          <w:szCs w:val="22"/>
          <w:lang w:val="sv-SE"/>
        </w:rPr>
        <w:t>(1), 44–55.</w:t>
      </w:r>
    </w:p>
    <w:p w14:paraId="4FEA8351"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Fachrudin, Y. (2021). Strategi Peningkatan Mutu Sekolah Berbasis Pesantren. </w:t>
      </w:r>
      <w:r w:rsidRPr="00370682">
        <w:rPr>
          <w:rFonts w:ascii="Cambria" w:hAnsi="Cambria" w:cs="Calibri"/>
          <w:i/>
          <w:iCs/>
          <w:sz w:val="22"/>
          <w:szCs w:val="22"/>
          <w:lang w:val="sv-SE"/>
        </w:rPr>
        <w:t>Dirasah: Jurnal Pemikiran Dan Pendidikan Dasar Islam</w:t>
      </w:r>
      <w:r w:rsidRPr="00370682">
        <w:rPr>
          <w:rFonts w:ascii="Cambria" w:hAnsi="Cambria" w:cs="Calibri"/>
          <w:sz w:val="22"/>
          <w:szCs w:val="22"/>
          <w:lang w:val="sv-SE"/>
        </w:rPr>
        <w:t>, </w:t>
      </w:r>
      <w:r w:rsidRPr="00370682">
        <w:rPr>
          <w:rFonts w:ascii="Cambria" w:hAnsi="Cambria" w:cs="Calibri"/>
          <w:i/>
          <w:iCs/>
          <w:sz w:val="22"/>
          <w:szCs w:val="22"/>
          <w:lang w:val="sv-SE"/>
        </w:rPr>
        <w:t>4</w:t>
      </w:r>
      <w:r w:rsidRPr="00370682">
        <w:rPr>
          <w:rFonts w:ascii="Cambria" w:hAnsi="Cambria" w:cs="Calibri"/>
          <w:sz w:val="22"/>
          <w:szCs w:val="22"/>
          <w:lang w:val="sv-SE"/>
        </w:rPr>
        <w:t>(2), 91-108.</w:t>
      </w:r>
    </w:p>
    <w:p w14:paraId="72BC9DC7" w14:textId="77777777" w:rsidR="00155009" w:rsidRPr="00370682" w:rsidRDefault="00155009" w:rsidP="00895BE6">
      <w:pPr>
        <w:pStyle w:val="FootnoteText"/>
        <w:ind w:left="720" w:hanging="720"/>
        <w:jc w:val="both"/>
        <w:rPr>
          <w:rFonts w:ascii="Cambria" w:hAnsi="Cambria" w:cs="Calibri"/>
          <w:sz w:val="22"/>
          <w:szCs w:val="22"/>
        </w:rPr>
      </w:pPr>
      <w:r w:rsidRPr="00370682">
        <w:rPr>
          <w:rFonts w:ascii="Cambria" w:hAnsi="Cambria" w:cs="Calibri"/>
          <w:sz w:val="22"/>
          <w:szCs w:val="22"/>
          <w:lang w:val="sv-SE"/>
        </w:rPr>
        <w:t xml:space="preserve">Farhah, J. T. (2024). Implementasi kebijakan Kurikulum Merdeka di SMPIT At-Taqwa Surabaya: Perspektif kepemimpinan dan sikap pelaksana. </w:t>
      </w:r>
      <w:r w:rsidRPr="00370682">
        <w:rPr>
          <w:rFonts w:ascii="Cambria" w:hAnsi="Cambria" w:cs="Calibri"/>
          <w:i/>
          <w:iCs/>
          <w:sz w:val="22"/>
          <w:szCs w:val="22"/>
        </w:rPr>
        <w:t>Inspirasi Manajemen Pendidikan</w:t>
      </w:r>
      <w:r w:rsidRPr="00370682">
        <w:rPr>
          <w:rFonts w:ascii="Cambria" w:hAnsi="Cambria" w:cs="Calibri"/>
          <w:sz w:val="22"/>
          <w:szCs w:val="22"/>
        </w:rPr>
        <w:t xml:space="preserve">, </w:t>
      </w:r>
      <w:r w:rsidRPr="00370682">
        <w:rPr>
          <w:rFonts w:ascii="Cambria" w:hAnsi="Cambria" w:cs="Calibri"/>
          <w:bCs/>
          <w:sz w:val="22"/>
          <w:szCs w:val="22"/>
        </w:rPr>
        <w:t>12</w:t>
      </w:r>
      <w:r w:rsidRPr="00370682">
        <w:rPr>
          <w:rFonts w:ascii="Cambria" w:hAnsi="Cambria" w:cs="Calibri"/>
          <w:sz w:val="22"/>
          <w:szCs w:val="22"/>
        </w:rPr>
        <w:t>(1), 55–70.</w:t>
      </w:r>
    </w:p>
    <w:p w14:paraId="48FDD5F3"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Halid, A. (2022). Blended Learning: Alternative Methods Of Effective Islamic Religious Education. </w:t>
      </w:r>
      <w:r w:rsidRPr="00370682">
        <w:rPr>
          <w:rFonts w:ascii="Cambria" w:hAnsi="Cambria" w:cs="Calibri"/>
          <w:i/>
          <w:iCs/>
          <w:sz w:val="22"/>
          <w:szCs w:val="22"/>
          <w:lang w:val="en-ID"/>
        </w:rPr>
        <w:t>FAJAR Jurnal Pendidikan Islam</w:t>
      </w:r>
      <w:r w:rsidRPr="00370682">
        <w:rPr>
          <w:rFonts w:ascii="Cambria" w:hAnsi="Cambria" w:cs="Calibri"/>
          <w:sz w:val="22"/>
          <w:szCs w:val="22"/>
          <w:lang w:val="en-ID"/>
        </w:rPr>
        <w:t>, </w:t>
      </w:r>
      <w:r w:rsidRPr="00370682">
        <w:rPr>
          <w:rFonts w:ascii="Cambria" w:hAnsi="Cambria" w:cs="Calibri"/>
          <w:i/>
          <w:iCs/>
          <w:sz w:val="22"/>
          <w:szCs w:val="22"/>
          <w:lang w:val="en-ID"/>
        </w:rPr>
        <w:t>2</w:t>
      </w:r>
      <w:r w:rsidRPr="00370682">
        <w:rPr>
          <w:rFonts w:ascii="Cambria" w:hAnsi="Cambria" w:cs="Calibri"/>
          <w:sz w:val="22"/>
          <w:szCs w:val="22"/>
          <w:lang w:val="en-ID"/>
        </w:rPr>
        <w:t>(2), 176-185.</w:t>
      </w:r>
    </w:p>
    <w:p w14:paraId="4D05B274"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 xml:space="preserve">Harden, R. M., &amp; Crosby, J. (2000). AMEE Guide No. 20: The good teacher is more than a lecturer—the twelve roles of the teacher. </w:t>
      </w:r>
      <w:r w:rsidRPr="00370682">
        <w:rPr>
          <w:rFonts w:ascii="Cambria" w:hAnsi="Cambria" w:cs="Calibri"/>
          <w:i/>
          <w:iCs/>
          <w:sz w:val="22"/>
          <w:szCs w:val="22"/>
          <w:lang w:val="en-ID"/>
        </w:rPr>
        <w:t>Medical Teacher, 22</w:t>
      </w:r>
      <w:r w:rsidRPr="00370682">
        <w:rPr>
          <w:rFonts w:ascii="Cambria" w:hAnsi="Cambria" w:cs="Calibri"/>
          <w:sz w:val="22"/>
          <w:szCs w:val="22"/>
          <w:lang w:val="en-ID"/>
        </w:rPr>
        <w:t>(4), 334–347.</w:t>
      </w:r>
    </w:p>
    <w:p w14:paraId="6E9BEA8C"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en-ID"/>
        </w:rPr>
        <w:t>Haris, A. (2019). Penguatan Proses Kognitif Melalui Pendekatan Student Centered Learning (SCL) Pada Materi Perencanaan dan Pengembangan Tes Hasil Belajar Pendidikan Agama Islam. </w:t>
      </w:r>
      <w:r w:rsidRPr="00370682">
        <w:rPr>
          <w:rFonts w:ascii="Cambria" w:hAnsi="Cambria" w:cs="Calibri"/>
          <w:i/>
          <w:iCs/>
          <w:sz w:val="22"/>
          <w:szCs w:val="22"/>
          <w:lang w:val="sv-SE"/>
        </w:rPr>
        <w:t>Jurnal LENTERA: Jurnal Studi Pendidikan</w:t>
      </w:r>
      <w:r w:rsidRPr="00370682">
        <w:rPr>
          <w:rFonts w:ascii="Cambria" w:hAnsi="Cambria" w:cs="Calibri"/>
          <w:sz w:val="22"/>
          <w:szCs w:val="22"/>
          <w:lang w:val="sv-SE"/>
        </w:rPr>
        <w:t>, </w:t>
      </w:r>
      <w:r w:rsidRPr="00370682">
        <w:rPr>
          <w:rFonts w:ascii="Cambria" w:hAnsi="Cambria" w:cs="Calibri"/>
          <w:i/>
          <w:iCs/>
          <w:sz w:val="22"/>
          <w:szCs w:val="22"/>
          <w:lang w:val="sv-SE"/>
        </w:rPr>
        <w:t>1</w:t>
      </w:r>
      <w:r w:rsidRPr="00370682">
        <w:rPr>
          <w:rFonts w:ascii="Cambria" w:hAnsi="Cambria" w:cs="Calibri"/>
          <w:sz w:val="22"/>
          <w:szCs w:val="22"/>
          <w:lang w:val="sv-SE"/>
        </w:rPr>
        <w:t>(2), 95-109.</w:t>
      </w:r>
    </w:p>
    <w:p w14:paraId="6E81F7F7"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sv-SE"/>
        </w:rPr>
        <w:t>Hasmawati, H., &amp; Muktamar, A. (2023). Asesmen dalam Kurikulum Merdeka Perspektif Pendidikan Agama Islam. </w:t>
      </w:r>
      <w:r w:rsidRPr="00370682">
        <w:rPr>
          <w:rFonts w:ascii="Cambria" w:hAnsi="Cambria" w:cs="Calibri"/>
          <w:i/>
          <w:iCs/>
          <w:sz w:val="22"/>
          <w:szCs w:val="22"/>
          <w:lang w:val="en-ID"/>
        </w:rPr>
        <w:t>Indonesian Journal of Innovation Multidisipliner Research</w:t>
      </w:r>
      <w:r w:rsidRPr="00370682">
        <w:rPr>
          <w:rFonts w:ascii="Cambria" w:hAnsi="Cambria" w:cs="Calibri"/>
          <w:sz w:val="22"/>
          <w:szCs w:val="22"/>
          <w:lang w:val="en-ID"/>
        </w:rPr>
        <w:t>, </w:t>
      </w:r>
      <w:r w:rsidRPr="00370682">
        <w:rPr>
          <w:rFonts w:ascii="Cambria" w:hAnsi="Cambria" w:cs="Calibri"/>
          <w:i/>
          <w:iCs/>
          <w:sz w:val="22"/>
          <w:szCs w:val="22"/>
          <w:lang w:val="en-ID"/>
        </w:rPr>
        <w:t>1</w:t>
      </w:r>
      <w:r w:rsidRPr="00370682">
        <w:rPr>
          <w:rFonts w:ascii="Cambria" w:hAnsi="Cambria" w:cs="Calibri"/>
          <w:sz w:val="22"/>
          <w:szCs w:val="22"/>
          <w:lang w:val="en-ID"/>
        </w:rPr>
        <w:t>(3), 197-211.</w:t>
      </w:r>
    </w:p>
    <w:p w14:paraId="0B12A95B"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rPr>
        <w:t xml:space="preserve">Hidayat, R. K., Novianti, B. A., &amp; Subki, S. (2023). Meningkatkan kemampuan berpikir kreatif fisika peserta didik berbasis Kurikulum Merdeka. </w:t>
      </w:r>
      <w:r w:rsidRPr="00370682">
        <w:rPr>
          <w:rFonts w:ascii="Cambria" w:hAnsi="Cambria" w:cs="Calibri"/>
          <w:i/>
          <w:iCs/>
          <w:sz w:val="22"/>
          <w:szCs w:val="22"/>
          <w:lang w:val="sv-SE"/>
        </w:rPr>
        <w:t>Jurnal Ilmiah Profesi Pendidikan</w:t>
      </w:r>
      <w:r w:rsidRPr="00370682">
        <w:rPr>
          <w:rFonts w:ascii="Cambria" w:hAnsi="Cambria" w:cs="Calibri"/>
          <w:sz w:val="22"/>
          <w:szCs w:val="22"/>
          <w:lang w:val="sv-SE"/>
        </w:rPr>
        <w:t xml:space="preserve">, </w:t>
      </w:r>
      <w:r w:rsidRPr="00370682">
        <w:rPr>
          <w:rFonts w:ascii="Cambria" w:hAnsi="Cambria" w:cs="Calibri"/>
          <w:bCs/>
          <w:sz w:val="22"/>
          <w:szCs w:val="22"/>
          <w:lang w:val="sv-SE"/>
        </w:rPr>
        <w:t>8</w:t>
      </w:r>
      <w:r w:rsidRPr="00370682">
        <w:rPr>
          <w:rFonts w:ascii="Cambria" w:hAnsi="Cambria" w:cs="Calibri"/>
          <w:sz w:val="22"/>
          <w:szCs w:val="22"/>
          <w:lang w:val="sv-SE"/>
        </w:rPr>
        <w:t>(2), 1143–1151.</w:t>
      </w:r>
    </w:p>
    <w:p w14:paraId="65F7CDD1"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sv-SE"/>
        </w:rPr>
        <w:t xml:space="preserve">Inayati, N. L., &amp; Pratiwi, H. T. (2025). </w:t>
      </w:r>
      <w:r w:rsidRPr="00370682">
        <w:rPr>
          <w:rFonts w:ascii="Cambria" w:hAnsi="Cambria" w:cs="Calibri"/>
          <w:sz w:val="22"/>
          <w:szCs w:val="22"/>
          <w:lang w:val="en-ID"/>
        </w:rPr>
        <w:t>Learning Islamic Education with the Project Based Learning (PjBL) Method. </w:t>
      </w:r>
      <w:r w:rsidRPr="00370682">
        <w:rPr>
          <w:rFonts w:ascii="Cambria" w:hAnsi="Cambria" w:cs="Calibri"/>
          <w:i/>
          <w:iCs/>
          <w:sz w:val="22"/>
          <w:szCs w:val="22"/>
          <w:lang w:val="en-ID"/>
        </w:rPr>
        <w:t>JIE (Journal of Islamic Education)</w:t>
      </w:r>
      <w:r w:rsidRPr="00370682">
        <w:rPr>
          <w:rFonts w:ascii="Cambria" w:hAnsi="Cambria" w:cs="Calibri"/>
          <w:sz w:val="22"/>
          <w:szCs w:val="22"/>
          <w:lang w:val="en-ID"/>
        </w:rPr>
        <w:t>, </w:t>
      </w:r>
      <w:r w:rsidRPr="00370682">
        <w:rPr>
          <w:rFonts w:ascii="Cambria" w:hAnsi="Cambria" w:cs="Calibri"/>
          <w:i/>
          <w:iCs/>
          <w:sz w:val="22"/>
          <w:szCs w:val="22"/>
          <w:lang w:val="en-ID"/>
        </w:rPr>
        <w:t>10</w:t>
      </w:r>
      <w:r w:rsidRPr="00370682">
        <w:rPr>
          <w:rFonts w:ascii="Cambria" w:hAnsi="Cambria" w:cs="Calibri"/>
          <w:sz w:val="22"/>
          <w:szCs w:val="22"/>
          <w:lang w:val="en-ID"/>
        </w:rPr>
        <w:t>(1), 174-190.</w:t>
      </w:r>
    </w:p>
    <w:p w14:paraId="6E9FA8E2"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 xml:space="preserve">Iqbal, M., Panjaitan, A. Y., Helvirianti, E., Nurhayati, N., &amp; Ritonga, Q. S. P. (2024). </w:t>
      </w:r>
      <w:r w:rsidRPr="00370682">
        <w:rPr>
          <w:rFonts w:ascii="Cambria" w:hAnsi="Cambria" w:cs="Calibri"/>
          <w:sz w:val="22"/>
          <w:szCs w:val="22"/>
          <w:lang w:val="sv-SE"/>
        </w:rPr>
        <w:t>Relevansi pendidikan karakter dalam konteks pendidikan Islam: Membangun generasi berkarakter islami. </w:t>
      </w:r>
      <w:r w:rsidRPr="00370682">
        <w:rPr>
          <w:rFonts w:ascii="Cambria" w:hAnsi="Cambria" w:cs="Calibri"/>
          <w:i/>
          <w:iCs/>
          <w:sz w:val="22"/>
          <w:szCs w:val="22"/>
          <w:lang w:val="en-ID"/>
        </w:rPr>
        <w:t>Indonesian Research Journal on Education</w:t>
      </w:r>
      <w:r w:rsidRPr="00370682">
        <w:rPr>
          <w:rFonts w:ascii="Cambria" w:hAnsi="Cambria" w:cs="Calibri"/>
          <w:sz w:val="22"/>
          <w:szCs w:val="22"/>
          <w:lang w:val="en-ID"/>
        </w:rPr>
        <w:t>, </w:t>
      </w:r>
      <w:r w:rsidRPr="00370682">
        <w:rPr>
          <w:rFonts w:ascii="Cambria" w:hAnsi="Cambria" w:cs="Calibri"/>
          <w:i/>
          <w:iCs/>
          <w:sz w:val="22"/>
          <w:szCs w:val="22"/>
          <w:lang w:val="en-ID"/>
        </w:rPr>
        <w:t>4</w:t>
      </w:r>
      <w:r w:rsidRPr="00370682">
        <w:rPr>
          <w:rFonts w:ascii="Cambria" w:hAnsi="Cambria" w:cs="Calibri"/>
          <w:sz w:val="22"/>
          <w:szCs w:val="22"/>
          <w:lang w:val="en-ID"/>
        </w:rPr>
        <w:t>(3), 13-22.</w:t>
      </w:r>
    </w:p>
    <w:p w14:paraId="7E1EDDC2" w14:textId="77777777" w:rsidR="00155009" w:rsidRPr="00370682" w:rsidRDefault="00155009" w:rsidP="00895BE6">
      <w:pPr>
        <w:pStyle w:val="FootnoteText"/>
        <w:ind w:left="720" w:hanging="720"/>
        <w:jc w:val="both"/>
        <w:rPr>
          <w:rFonts w:ascii="Cambria" w:hAnsi="Cambria" w:cs="Calibri"/>
          <w:sz w:val="22"/>
          <w:szCs w:val="22"/>
        </w:rPr>
      </w:pPr>
      <w:r w:rsidRPr="00370682">
        <w:rPr>
          <w:rFonts w:ascii="Cambria" w:hAnsi="Cambria" w:cs="Calibri"/>
          <w:sz w:val="22"/>
          <w:szCs w:val="22"/>
        </w:rPr>
        <w:t xml:space="preserve">Jailani, M. (2022). Pembelajaran Bahasa Arab berbasis Kurikulum Merdeka di pondok pesantren. </w:t>
      </w:r>
      <w:r w:rsidRPr="00370682">
        <w:rPr>
          <w:rFonts w:ascii="Cambria" w:hAnsi="Cambria" w:cs="Calibri"/>
          <w:i/>
          <w:iCs/>
          <w:sz w:val="22"/>
          <w:szCs w:val="22"/>
        </w:rPr>
        <w:t>Jurnal Praktik Baik Pembelajaran Sekolah</w:t>
      </w:r>
      <w:r w:rsidRPr="00370682">
        <w:rPr>
          <w:rFonts w:ascii="Cambria" w:hAnsi="Cambria" w:cs="Calibri"/>
          <w:sz w:val="22"/>
          <w:szCs w:val="22"/>
        </w:rPr>
        <w:t xml:space="preserve">, </w:t>
      </w:r>
      <w:r w:rsidRPr="00370682">
        <w:rPr>
          <w:rFonts w:ascii="Cambria" w:hAnsi="Cambria" w:cs="Calibri"/>
          <w:bCs/>
          <w:sz w:val="22"/>
          <w:szCs w:val="22"/>
        </w:rPr>
        <w:t>5</w:t>
      </w:r>
      <w:r w:rsidRPr="00370682">
        <w:rPr>
          <w:rFonts w:ascii="Cambria" w:hAnsi="Cambria" w:cs="Calibri"/>
          <w:sz w:val="22"/>
          <w:szCs w:val="22"/>
        </w:rPr>
        <w:t>(2), 33–42.</w:t>
      </w:r>
    </w:p>
    <w:p w14:paraId="012E5ED4"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 xml:space="preserve">Kember, D. (1997). A reconceptualisation of the research into university academics’ conceptions of teaching. </w:t>
      </w:r>
      <w:r w:rsidRPr="00370682">
        <w:rPr>
          <w:rFonts w:ascii="Cambria" w:hAnsi="Cambria" w:cs="Calibri"/>
          <w:i/>
          <w:iCs/>
          <w:sz w:val="22"/>
          <w:szCs w:val="22"/>
          <w:lang w:val="en-ID"/>
        </w:rPr>
        <w:t>Learning and Instruction, 7</w:t>
      </w:r>
      <w:r w:rsidRPr="00370682">
        <w:rPr>
          <w:rFonts w:ascii="Cambria" w:hAnsi="Cambria" w:cs="Calibri"/>
          <w:sz w:val="22"/>
          <w:szCs w:val="22"/>
          <w:lang w:val="en-ID"/>
        </w:rPr>
        <w:t>(3), 255–275</w:t>
      </w:r>
    </w:p>
    <w:p w14:paraId="6AF8AE86" w14:textId="77777777" w:rsidR="00155009" w:rsidRPr="00370682" w:rsidRDefault="00155009" w:rsidP="00895BE6">
      <w:pPr>
        <w:pStyle w:val="FootnoteText"/>
        <w:ind w:left="720" w:hanging="720"/>
        <w:jc w:val="both"/>
        <w:rPr>
          <w:rFonts w:ascii="Cambria" w:hAnsi="Cambria" w:cs="Calibri"/>
          <w:sz w:val="22"/>
          <w:szCs w:val="22"/>
        </w:rPr>
      </w:pPr>
      <w:r w:rsidRPr="00370682">
        <w:rPr>
          <w:rFonts w:ascii="Cambria" w:hAnsi="Cambria" w:cs="Calibri"/>
          <w:sz w:val="22"/>
          <w:szCs w:val="22"/>
        </w:rPr>
        <w:t xml:space="preserve">Lestari, R. V. A., &amp; Hindun, H. (2024). Penerapan 4C (Communication, Collaboration, Critical Thinking, Creativity) pada Kurikulum Merdeka di tingkat SMA. </w:t>
      </w:r>
      <w:r w:rsidRPr="00370682">
        <w:rPr>
          <w:rFonts w:ascii="Cambria" w:hAnsi="Cambria" w:cs="Calibri"/>
          <w:i/>
          <w:iCs/>
          <w:sz w:val="22"/>
          <w:szCs w:val="22"/>
        </w:rPr>
        <w:t>Reduplikasi: Jurnal Pendidikan</w:t>
      </w:r>
      <w:r w:rsidRPr="00370682">
        <w:rPr>
          <w:rFonts w:ascii="Cambria" w:hAnsi="Cambria" w:cs="Calibri"/>
          <w:sz w:val="22"/>
          <w:szCs w:val="22"/>
        </w:rPr>
        <w:t xml:space="preserve">, </w:t>
      </w:r>
      <w:r w:rsidRPr="00370682">
        <w:rPr>
          <w:rFonts w:ascii="Cambria" w:hAnsi="Cambria" w:cs="Calibri"/>
          <w:bCs/>
          <w:sz w:val="22"/>
          <w:szCs w:val="22"/>
        </w:rPr>
        <w:t>2</w:t>
      </w:r>
      <w:r w:rsidRPr="00370682">
        <w:rPr>
          <w:rFonts w:ascii="Cambria" w:hAnsi="Cambria" w:cs="Calibri"/>
          <w:sz w:val="22"/>
          <w:szCs w:val="22"/>
        </w:rPr>
        <w:t>(1), 15–28.</w:t>
      </w:r>
    </w:p>
    <w:p w14:paraId="614C3DC5"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en-ID"/>
        </w:rPr>
        <w:t>Liliyani, L. (2024). Inovasi Strategi Mengajar Guru dalam Pembelajaran Fikih untuk Meningkatkan Mutu Belajar Siswa Kelas I di MIN 3 Way Kanan. </w:t>
      </w:r>
      <w:r w:rsidRPr="00370682">
        <w:rPr>
          <w:rFonts w:ascii="Cambria" w:hAnsi="Cambria" w:cs="Calibri"/>
          <w:i/>
          <w:iCs/>
          <w:sz w:val="22"/>
          <w:szCs w:val="22"/>
          <w:lang w:val="sv-SE"/>
        </w:rPr>
        <w:t>Jurnal Miftahul Ilmi: Jurnal Pendidikan Agama Islam</w:t>
      </w:r>
      <w:r w:rsidRPr="00370682">
        <w:rPr>
          <w:rFonts w:ascii="Cambria" w:hAnsi="Cambria" w:cs="Calibri"/>
          <w:sz w:val="22"/>
          <w:szCs w:val="22"/>
          <w:lang w:val="sv-SE"/>
        </w:rPr>
        <w:t>, </w:t>
      </w:r>
      <w:r w:rsidRPr="00370682">
        <w:rPr>
          <w:rFonts w:ascii="Cambria" w:hAnsi="Cambria" w:cs="Calibri"/>
          <w:i/>
          <w:iCs/>
          <w:sz w:val="22"/>
          <w:szCs w:val="22"/>
          <w:lang w:val="sv-SE"/>
        </w:rPr>
        <w:t>1</w:t>
      </w:r>
      <w:r w:rsidRPr="00370682">
        <w:rPr>
          <w:rFonts w:ascii="Cambria" w:hAnsi="Cambria" w:cs="Calibri"/>
          <w:sz w:val="22"/>
          <w:szCs w:val="22"/>
          <w:lang w:val="sv-SE"/>
        </w:rPr>
        <w:t>(3), 86-94.</w:t>
      </w:r>
    </w:p>
    <w:p w14:paraId="44EA93F2"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Maimunah, M., &amp; Jannah, N. (2025). Meningkatkan Keterampilan Abad 21 Dengan Model Project Based Learning Pada Pembelajaran Pendidikan Agama Islam Di SMK Muhammadiyah 5. </w:t>
      </w:r>
      <w:r w:rsidRPr="00370682">
        <w:rPr>
          <w:rFonts w:ascii="Cambria" w:hAnsi="Cambria" w:cs="Calibri"/>
          <w:i/>
          <w:iCs/>
          <w:sz w:val="22"/>
          <w:szCs w:val="22"/>
          <w:lang w:val="sv-SE"/>
        </w:rPr>
        <w:t>Edification Journal: Pendidikan Agama Islam</w:t>
      </w:r>
      <w:r w:rsidRPr="00370682">
        <w:rPr>
          <w:rFonts w:ascii="Cambria" w:hAnsi="Cambria" w:cs="Calibri"/>
          <w:sz w:val="22"/>
          <w:szCs w:val="22"/>
          <w:lang w:val="sv-SE"/>
        </w:rPr>
        <w:t>, </w:t>
      </w:r>
      <w:r w:rsidRPr="00370682">
        <w:rPr>
          <w:rFonts w:ascii="Cambria" w:hAnsi="Cambria" w:cs="Calibri"/>
          <w:i/>
          <w:iCs/>
          <w:sz w:val="22"/>
          <w:szCs w:val="22"/>
          <w:lang w:val="sv-SE"/>
        </w:rPr>
        <w:t>8</w:t>
      </w:r>
      <w:r w:rsidRPr="00370682">
        <w:rPr>
          <w:rFonts w:ascii="Cambria" w:hAnsi="Cambria" w:cs="Calibri"/>
          <w:sz w:val="22"/>
          <w:szCs w:val="22"/>
          <w:lang w:val="sv-SE"/>
        </w:rPr>
        <w:t>(1), 79-100.</w:t>
      </w:r>
    </w:p>
    <w:p w14:paraId="763A7B89"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sv-SE"/>
        </w:rPr>
        <w:t>Mokodompit, A., Pontoh, R. V., Mokoagow, G. C., &amp; Solong, N. P. (2024). Penerapan Prinsip Pengembangan Materi PAI dalam Menciptakan Pembelajaran Efektif. </w:t>
      </w:r>
      <w:r w:rsidRPr="00370682">
        <w:rPr>
          <w:rFonts w:ascii="Cambria" w:hAnsi="Cambria" w:cs="Calibri"/>
          <w:i/>
          <w:iCs/>
          <w:sz w:val="22"/>
          <w:szCs w:val="22"/>
          <w:lang w:val="en-ID"/>
        </w:rPr>
        <w:t>Indonesian Journal of Innovation Multidisipliner Research</w:t>
      </w:r>
      <w:r w:rsidRPr="00370682">
        <w:rPr>
          <w:rFonts w:ascii="Cambria" w:hAnsi="Cambria" w:cs="Calibri"/>
          <w:sz w:val="22"/>
          <w:szCs w:val="22"/>
          <w:lang w:val="en-ID"/>
        </w:rPr>
        <w:t>, </w:t>
      </w:r>
      <w:r w:rsidRPr="00370682">
        <w:rPr>
          <w:rFonts w:ascii="Cambria" w:hAnsi="Cambria" w:cs="Calibri"/>
          <w:i/>
          <w:iCs/>
          <w:sz w:val="22"/>
          <w:szCs w:val="22"/>
          <w:lang w:val="en-ID"/>
        </w:rPr>
        <w:t>2</w:t>
      </w:r>
      <w:r w:rsidRPr="00370682">
        <w:rPr>
          <w:rFonts w:ascii="Cambria" w:hAnsi="Cambria" w:cs="Calibri"/>
          <w:sz w:val="22"/>
          <w:szCs w:val="22"/>
          <w:lang w:val="en-ID"/>
        </w:rPr>
        <w:t>(3), 225-235.</w:t>
      </w:r>
    </w:p>
    <w:p w14:paraId="3CA221B1"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Mubin, N., Basri, B., Nur, M. A., &amp; Ma’ruf, R. A. (2025). Implementasi Kurikulum Merdeka pada Pendidikan Agama Islam untuk Peningkatan Mutu Pembelajaran. </w:t>
      </w:r>
      <w:r w:rsidRPr="00370682">
        <w:rPr>
          <w:rFonts w:ascii="Cambria" w:hAnsi="Cambria" w:cs="Calibri"/>
          <w:i/>
          <w:iCs/>
          <w:sz w:val="22"/>
          <w:szCs w:val="22"/>
          <w:lang w:val="en-ID"/>
        </w:rPr>
        <w:t>JIIP-Jurnal Ilmiah Ilmu Pendidikan</w:t>
      </w:r>
      <w:r w:rsidRPr="00370682">
        <w:rPr>
          <w:rFonts w:ascii="Cambria" w:hAnsi="Cambria" w:cs="Calibri"/>
          <w:sz w:val="22"/>
          <w:szCs w:val="22"/>
          <w:lang w:val="en-ID"/>
        </w:rPr>
        <w:t>, </w:t>
      </w:r>
      <w:r w:rsidRPr="00370682">
        <w:rPr>
          <w:rFonts w:ascii="Cambria" w:hAnsi="Cambria" w:cs="Calibri"/>
          <w:i/>
          <w:iCs/>
          <w:sz w:val="22"/>
          <w:szCs w:val="22"/>
          <w:lang w:val="en-ID"/>
        </w:rPr>
        <w:t>8</w:t>
      </w:r>
      <w:r w:rsidRPr="00370682">
        <w:rPr>
          <w:rFonts w:ascii="Cambria" w:hAnsi="Cambria" w:cs="Calibri"/>
          <w:sz w:val="22"/>
          <w:szCs w:val="22"/>
          <w:lang w:val="en-ID"/>
        </w:rPr>
        <w:t>(6), 6849-6858.</w:t>
      </w:r>
    </w:p>
    <w:p w14:paraId="32F364EF"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rPr>
        <w:t xml:space="preserve">Noptario, N. (2024). Student-centered learning model in Merdeka Curriculum: Strengthening resilience in students. </w:t>
      </w:r>
      <w:r w:rsidRPr="00370682">
        <w:rPr>
          <w:rFonts w:ascii="Cambria" w:hAnsi="Cambria" w:cs="Calibri"/>
          <w:i/>
          <w:iCs/>
          <w:sz w:val="22"/>
          <w:szCs w:val="22"/>
          <w:lang w:val="sv-SE"/>
        </w:rPr>
        <w:t>Mudarrisa: Jurnal Pendidikan Islam</w:t>
      </w:r>
      <w:r w:rsidRPr="00370682">
        <w:rPr>
          <w:rFonts w:ascii="Cambria" w:hAnsi="Cambria" w:cs="Calibri"/>
          <w:sz w:val="22"/>
          <w:szCs w:val="22"/>
          <w:lang w:val="sv-SE"/>
        </w:rPr>
        <w:t xml:space="preserve">, </w:t>
      </w:r>
      <w:r w:rsidRPr="00370682">
        <w:rPr>
          <w:rFonts w:ascii="Cambria" w:hAnsi="Cambria" w:cs="Calibri"/>
          <w:bCs/>
          <w:sz w:val="22"/>
          <w:szCs w:val="22"/>
          <w:lang w:val="sv-SE"/>
        </w:rPr>
        <w:t>16</w:t>
      </w:r>
      <w:r w:rsidRPr="00370682">
        <w:rPr>
          <w:rFonts w:ascii="Cambria" w:hAnsi="Cambria" w:cs="Calibri"/>
          <w:sz w:val="22"/>
          <w:szCs w:val="22"/>
          <w:lang w:val="sv-SE"/>
        </w:rPr>
        <w:t>(1), 1–15.</w:t>
      </w:r>
    </w:p>
    <w:p w14:paraId="3E73F24D"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 xml:space="preserve">Permana, G., Yana, A., Putra, D., &amp; Rahmawati, F. (2023). Implementasi Kurikulum Merdeka dan perangkat pembelajaran terhadap kreativitas, pemecahan masalah, berpikir kritis, dan kolaborasi peserta didik. </w:t>
      </w:r>
      <w:r w:rsidRPr="00370682">
        <w:rPr>
          <w:rFonts w:ascii="Cambria" w:hAnsi="Cambria" w:cs="Calibri"/>
          <w:i/>
          <w:iCs/>
          <w:sz w:val="22"/>
          <w:szCs w:val="22"/>
          <w:lang w:val="sv-SE"/>
        </w:rPr>
        <w:t>PRO: Jurnal Pendidikan dan Pengajaran</w:t>
      </w:r>
      <w:r w:rsidRPr="00370682">
        <w:rPr>
          <w:rFonts w:ascii="Cambria" w:hAnsi="Cambria" w:cs="Calibri"/>
          <w:sz w:val="22"/>
          <w:szCs w:val="22"/>
          <w:lang w:val="sv-SE"/>
        </w:rPr>
        <w:t xml:space="preserve">, </w:t>
      </w:r>
      <w:r w:rsidRPr="00370682">
        <w:rPr>
          <w:rFonts w:ascii="Cambria" w:hAnsi="Cambria" w:cs="Calibri"/>
          <w:bCs/>
          <w:sz w:val="22"/>
          <w:szCs w:val="22"/>
          <w:lang w:val="sv-SE"/>
        </w:rPr>
        <w:t>3</w:t>
      </w:r>
      <w:r w:rsidRPr="00370682">
        <w:rPr>
          <w:rFonts w:ascii="Cambria" w:hAnsi="Cambria" w:cs="Calibri"/>
          <w:sz w:val="22"/>
          <w:szCs w:val="22"/>
          <w:lang w:val="sv-SE"/>
        </w:rPr>
        <w:t>(2), 112–125.</w:t>
      </w:r>
    </w:p>
    <w:p w14:paraId="012346C6"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lastRenderedPageBreak/>
        <w:t xml:space="preserve">Prabowo, G., &amp; Khaudli, M. I. (2024). Implementasi Kurikulum Merdeka Belajar dalam meningkatkan kemampuan berpikir kritis siswa SMA melalui pembelajaran project-based learning. </w:t>
      </w:r>
      <w:r w:rsidRPr="00370682">
        <w:rPr>
          <w:rFonts w:ascii="Cambria" w:hAnsi="Cambria" w:cs="Calibri"/>
          <w:i/>
          <w:iCs/>
          <w:sz w:val="22"/>
          <w:szCs w:val="22"/>
          <w:lang w:val="sv-SE"/>
        </w:rPr>
        <w:t>Jurnal Pendidikan Indonesia</w:t>
      </w:r>
      <w:r w:rsidRPr="00370682">
        <w:rPr>
          <w:rFonts w:ascii="Cambria" w:hAnsi="Cambria" w:cs="Calibri"/>
          <w:sz w:val="22"/>
          <w:szCs w:val="22"/>
          <w:lang w:val="sv-SE"/>
        </w:rPr>
        <w:t xml:space="preserve">, </w:t>
      </w:r>
      <w:r w:rsidRPr="00370682">
        <w:rPr>
          <w:rFonts w:ascii="Cambria" w:hAnsi="Cambria" w:cs="Calibri"/>
          <w:bCs/>
          <w:sz w:val="22"/>
          <w:szCs w:val="22"/>
          <w:lang w:val="sv-SE"/>
        </w:rPr>
        <w:t>2</w:t>
      </w:r>
      <w:r w:rsidRPr="00370682">
        <w:rPr>
          <w:rFonts w:ascii="Cambria" w:hAnsi="Cambria" w:cs="Calibri"/>
          <w:sz w:val="22"/>
          <w:szCs w:val="22"/>
          <w:lang w:val="sv-SE"/>
        </w:rPr>
        <w:t>(2), 140–150.</w:t>
      </w:r>
    </w:p>
    <w:p w14:paraId="415EC264"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 xml:space="preserve">Pranata, D. C. (2024). Pengembangan kompetensi guru dalam menghadapi Kurikulum Merdeka. </w:t>
      </w:r>
      <w:r w:rsidRPr="00370682">
        <w:rPr>
          <w:rFonts w:ascii="Cambria" w:hAnsi="Cambria" w:cs="Calibri"/>
          <w:i/>
          <w:iCs/>
          <w:sz w:val="22"/>
          <w:szCs w:val="22"/>
          <w:lang w:val="sv-SE"/>
        </w:rPr>
        <w:t>Jurnal Pendidikan dan Kebudayaan</w:t>
      </w:r>
      <w:r w:rsidRPr="00370682">
        <w:rPr>
          <w:rFonts w:ascii="Cambria" w:hAnsi="Cambria" w:cs="Calibri"/>
          <w:sz w:val="22"/>
          <w:szCs w:val="22"/>
          <w:lang w:val="sv-SE"/>
        </w:rPr>
        <w:t xml:space="preserve">, </w:t>
      </w:r>
      <w:r w:rsidRPr="00370682">
        <w:rPr>
          <w:rFonts w:ascii="Cambria" w:hAnsi="Cambria" w:cs="Calibri"/>
          <w:bCs/>
          <w:sz w:val="22"/>
          <w:szCs w:val="22"/>
          <w:lang w:val="sv-SE"/>
        </w:rPr>
        <w:t>9</w:t>
      </w:r>
      <w:r w:rsidRPr="00370682">
        <w:rPr>
          <w:rFonts w:ascii="Cambria" w:hAnsi="Cambria" w:cs="Calibri"/>
          <w:sz w:val="22"/>
          <w:szCs w:val="22"/>
          <w:lang w:val="sv-SE"/>
        </w:rPr>
        <w:t>(2), 87–98.</w:t>
      </w:r>
    </w:p>
    <w:p w14:paraId="6B545376"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 xml:space="preserve">Rachman, L. (2024). Transformasi Kurikulum Merdeka Belajar di madrasah: Integrasi nilai keislaman dan kompetensi abad-21. </w:t>
      </w:r>
      <w:r w:rsidRPr="00370682">
        <w:rPr>
          <w:rFonts w:ascii="Cambria" w:hAnsi="Cambria" w:cs="Calibri"/>
          <w:i/>
          <w:iCs/>
          <w:sz w:val="22"/>
          <w:szCs w:val="22"/>
          <w:lang w:val="sv-SE"/>
        </w:rPr>
        <w:t>Al-Ma’had: Jurnal Ilmiah Kepesantrenan</w:t>
      </w:r>
      <w:r w:rsidRPr="00370682">
        <w:rPr>
          <w:rFonts w:ascii="Cambria" w:hAnsi="Cambria" w:cs="Calibri"/>
          <w:sz w:val="22"/>
          <w:szCs w:val="22"/>
          <w:lang w:val="sv-SE"/>
        </w:rPr>
        <w:t xml:space="preserve">, </w:t>
      </w:r>
      <w:r w:rsidRPr="00370682">
        <w:rPr>
          <w:rFonts w:ascii="Cambria" w:hAnsi="Cambria" w:cs="Calibri"/>
          <w:bCs/>
          <w:sz w:val="22"/>
          <w:szCs w:val="22"/>
          <w:lang w:val="sv-SE"/>
        </w:rPr>
        <w:t>9</w:t>
      </w:r>
      <w:r w:rsidRPr="00370682">
        <w:rPr>
          <w:rFonts w:ascii="Cambria" w:hAnsi="Cambria" w:cs="Calibri"/>
          <w:sz w:val="22"/>
          <w:szCs w:val="22"/>
          <w:lang w:val="sv-SE"/>
        </w:rPr>
        <w:t>(1), 45–60.</w:t>
      </w:r>
    </w:p>
    <w:p w14:paraId="1D12D912" w14:textId="77777777" w:rsidR="00155009" w:rsidRPr="00370682" w:rsidRDefault="00155009" w:rsidP="00895BE6">
      <w:pPr>
        <w:pStyle w:val="FootnoteText"/>
        <w:ind w:left="720" w:hanging="720"/>
        <w:jc w:val="both"/>
        <w:rPr>
          <w:rFonts w:ascii="Cambria" w:hAnsi="Cambria" w:cs="Calibri"/>
          <w:sz w:val="22"/>
          <w:szCs w:val="22"/>
          <w:lang w:val="fi-FI"/>
        </w:rPr>
      </w:pPr>
      <w:r w:rsidRPr="00370682">
        <w:rPr>
          <w:rFonts w:ascii="Cambria" w:hAnsi="Cambria" w:cs="Calibri"/>
          <w:sz w:val="22"/>
          <w:szCs w:val="22"/>
          <w:lang w:val="sv-SE"/>
        </w:rPr>
        <w:t>Rahman, A., Pd, M., &amp; Nurhadi. (2021). </w:t>
      </w:r>
      <w:r w:rsidRPr="00370682">
        <w:rPr>
          <w:rFonts w:ascii="Cambria" w:hAnsi="Cambria" w:cs="Calibri"/>
          <w:i/>
          <w:iCs/>
          <w:sz w:val="22"/>
          <w:szCs w:val="22"/>
          <w:lang w:val="sv-SE"/>
        </w:rPr>
        <w:t>Model Pembelajaran Pendidikan Agama Islam Berbasis Riset</w:t>
      </w:r>
      <w:r w:rsidRPr="00370682">
        <w:rPr>
          <w:rFonts w:ascii="Cambria" w:hAnsi="Cambria" w:cs="Calibri"/>
          <w:sz w:val="22"/>
          <w:szCs w:val="22"/>
          <w:lang w:val="sv-SE"/>
        </w:rPr>
        <w:t xml:space="preserve">. </w:t>
      </w:r>
      <w:r w:rsidRPr="00370682">
        <w:rPr>
          <w:rFonts w:ascii="Cambria" w:hAnsi="Cambria" w:cs="Calibri"/>
          <w:sz w:val="22"/>
          <w:szCs w:val="22"/>
          <w:lang w:val="fi-FI"/>
        </w:rPr>
        <w:t>Guepedia.</w:t>
      </w:r>
    </w:p>
    <w:p w14:paraId="771E3D1C"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fi-FI"/>
        </w:rPr>
        <w:t xml:space="preserve">Risana, F., Hadi, A. I. M., Pratama, A., Rahmah, F., &amp; Syafe’i, I. (2025). </w:t>
      </w:r>
      <w:r w:rsidRPr="00370682">
        <w:rPr>
          <w:rFonts w:ascii="Cambria" w:hAnsi="Cambria" w:cs="Calibri"/>
          <w:sz w:val="22"/>
          <w:szCs w:val="22"/>
          <w:lang w:val="sv-SE"/>
        </w:rPr>
        <w:t>Transformasi metode pembelajaran pendidikan agama Islam: Dari konvensional ke pendekatan student-centered learning. </w:t>
      </w:r>
      <w:r w:rsidRPr="00370682">
        <w:rPr>
          <w:rFonts w:ascii="Cambria" w:hAnsi="Cambria" w:cs="Calibri"/>
          <w:i/>
          <w:iCs/>
          <w:sz w:val="22"/>
          <w:szCs w:val="22"/>
          <w:lang w:val="sv-SE"/>
        </w:rPr>
        <w:t>Pendas: Jurnal Ilmiah Pendidikan Dasar</w:t>
      </w:r>
      <w:r w:rsidRPr="00370682">
        <w:rPr>
          <w:rFonts w:ascii="Cambria" w:hAnsi="Cambria" w:cs="Calibri"/>
          <w:sz w:val="22"/>
          <w:szCs w:val="22"/>
          <w:lang w:val="sv-SE"/>
        </w:rPr>
        <w:t>, </w:t>
      </w:r>
      <w:r w:rsidRPr="00370682">
        <w:rPr>
          <w:rFonts w:ascii="Cambria" w:hAnsi="Cambria" w:cs="Calibri"/>
          <w:i/>
          <w:iCs/>
          <w:sz w:val="22"/>
          <w:szCs w:val="22"/>
          <w:lang w:val="sv-SE"/>
        </w:rPr>
        <w:t>10</w:t>
      </w:r>
      <w:r w:rsidRPr="00370682">
        <w:rPr>
          <w:rFonts w:ascii="Cambria" w:hAnsi="Cambria" w:cs="Calibri"/>
          <w:sz w:val="22"/>
          <w:szCs w:val="22"/>
          <w:lang w:val="sv-SE"/>
        </w:rPr>
        <w:t>(01), 619-632.</w:t>
      </w:r>
    </w:p>
    <w:p w14:paraId="5E1B5681"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sv-SE"/>
        </w:rPr>
        <w:t>Rizal, M., Nuriza, R., &amp; Kamal, R. (2025). OPTIMALISASI PEMBELAJARAN BERBASIS STUDENT CENTER UNTUK MENINGKATKAN PENDEKATAN KOGNITIF DAN KEAKTIFAN PESERTA DIDIK. </w:t>
      </w:r>
      <w:r w:rsidRPr="00370682">
        <w:rPr>
          <w:rFonts w:ascii="Cambria" w:hAnsi="Cambria" w:cs="Calibri"/>
          <w:i/>
          <w:iCs/>
          <w:sz w:val="22"/>
          <w:szCs w:val="22"/>
          <w:lang w:val="en-ID"/>
        </w:rPr>
        <w:t>TEACHING: Jurnal Inovasi Keguruan dan Ilmu Pendidikan</w:t>
      </w:r>
      <w:r w:rsidRPr="00370682">
        <w:rPr>
          <w:rFonts w:ascii="Cambria" w:hAnsi="Cambria" w:cs="Calibri"/>
          <w:sz w:val="22"/>
          <w:szCs w:val="22"/>
          <w:lang w:val="en-ID"/>
        </w:rPr>
        <w:t>, </w:t>
      </w:r>
      <w:r w:rsidRPr="00370682">
        <w:rPr>
          <w:rFonts w:ascii="Cambria" w:hAnsi="Cambria" w:cs="Calibri"/>
          <w:i/>
          <w:iCs/>
          <w:sz w:val="22"/>
          <w:szCs w:val="22"/>
          <w:lang w:val="en-ID"/>
        </w:rPr>
        <w:t>5</w:t>
      </w:r>
      <w:r w:rsidRPr="00370682">
        <w:rPr>
          <w:rFonts w:ascii="Cambria" w:hAnsi="Cambria" w:cs="Calibri"/>
          <w:sz w:val="22"/>
          <w:szCs w:val="22"/>
          <w:lang w:val="en-ID"/>
        </w:rPr>
        <w:t>(2), 111-118.</w:t>
      </w:r>
    </w:p>
    <w:p w14:paraId="59D26C1A" w14:textId="77777777" w:rsidR="00155009"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en-ID"/>
        </w:rPr>
        <w:t xml:space="preserve">Rogers, C. R. (1983). </w:t>
      </w:r>
      <w:r w:rsidRPr="00370682">
        <w:rPr>
          <w:rFonts w:ascii="Cambria" w:hAnsi="Cambria" w:cs="Calibri"/>
          <w:i/>
          <w:iCs/>
          <w:sz w:val="22"/>
          <w:szCs w:val="22"/>
          <w:lang w:val="en-ID"/>
        </w:rPr>
        <w:t>Freedom to learn for the 80s</w:t>
      </w:r>
      <w:r w:rsidRPr="00370682">
        <w:rPr>
          <w:rFonts w:ascii="Cambria" w:hAnsi="Cambria" w:cs="Calibri"/>
          <w:sz w:val="22"/>
          <w:szCs w:val="22"/>
          <w:lang w:val="en-ID"/>
        </w:rPr>
        <w:t>. Charles Merrill.</w:t>
      </w:r>
    </w:p>
    <w:p w14:paraId="788A0818" w14:textId="77777777" w:rsidR="00155009" w:rsidRPr="00370682" w:rsidRDefault="00155009" w:rsidP="00895BE6">
      <w:pPr>
        <w:pStyle w:val="FootnoteText"/>
        <w:ind w:left="720" w:hanging="720"/>
        <w:jc w:val="both"/>
        <w:rPr>
          <w:rFonts w:ascii="Cambria" w:hAnsi="Cambria" w:cs="Calibri"/>
          <w:sz w:val="22"/>
          <w:szCs w:val="22"/>
          <w:lang w:val="fi-FI"/>
        </w:rPr>
      </w:pPr>
      <w:r w:rsidRPr="00370682">
        <w:rPr>
          <w:rFonts w:ascii="Cambria" w:hAnsi="Cambria" w:cs="Calibri"/>
          <w:sz w:val="22"/>
          <w:szCs w:val="22"/>
          <w:lang w:val="fi-FI"/>
        </w:rPr>
        <w:t>Sari, M. N., Susmita, N., &amp; Ikhlas, A. (2025). </w:t>
      </w:r>
      <w:r w:rsidRPr="00370682">
        <w:rPr>
          <w:rFonts w:ascii="Cambria" w:hAnsi="Cambria" w:cs="Calibri"/>
          <w:i/>
          <w:iCs/>
          <w:sz w:val="22"/>
          <w:szCs w:val="22"/>
          <w:lang w:val="fi-FI"/>
        </w:rPr>
        <w:t>Melakukan Penelitian Kepustakaan</w:t>
      </w:r>
      <w:r w:rsidRPr="00370682">
        <w:rPr>
          <w:rFonts w:ascii="Cambria" w:hAnsi="Cambria" w:cs="Calibri"/>
          <w:sz w:val="22"/>
          <w:szCs w:val="22"/>
          <w:lang w:val="fi-FI"/>
        </w:rPr>
        <w:t>. Pradina Pustaka.</w:t>
      </w:r>
    </w:p>
    <w:p w14:paraId="62657B13"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 xml:space="preserve">Suastra, I. W. (2024). Pelatihan dan pendampingan implementasi Kurikulum Merdeka di sekolah dasar: Experience report. </w:t>
      </w:r>
      <w:r w:rsidRPr="00370682">
        <w:rPr>
          <w:rFonts w:ascii="Cambria" w:hAnsi="Cambria" w:cs="Calibri"/>
          <w:i/>
          <w:iCs/>
          <w:sz w:val="22"/>
          <w:szCs w:val="22"/>
          <w:lang w:val="sv-SE"/>
        </w:rPr>
        <w:t>SENADIMAS: Seminar Nasional Pengabdian Kepada Masyarakat</w:t>
      </w:r>
      <w:r w:rsidRPr="00370682">
        <w:rPr>
          <w:rFonts w:ascii="Cambria" w:hAnsi="Cambria" w:cs="Calibri"/>
          <w:sz w:val="22"/>
          <w:szCs w:val="22"/>
          <w:lang w:val="sv-SE"/>
        </w:rPr>
        <w:t xml:space="preserve">, </w:t>
      </w:r>
      <w:r w:rsidRPr="00370682">
        <w:rPr>
          <w:rFonts w:ascii="Cambria" w:hAnsi="Cambria" w:cs="Calibri"/>
          <w:bCs/>
          <w:sz w:val="22"/>
          <w:szCs w:val="22"/>
          <w:lang w:val="sv-SE"/>
        </w:rPr>
        <w:t>3</w:t>
      </w:r>
      <w:r w:rsidRPr="00370682">
        <w:rPr>
          <w:rFonts w:ascii="Cambria" w:hAnsi="Cambria" w:cs="Calibri"/>
          <w:sz w:val="22"/>
          <w:szCs w:val="22"/>
          <w:lang w:val="sv-SE"/>
        </w:rPr>
        <w:t>(1), 290–295.</w:t>
      </w:r>
    </w:p>
    <w:p w14:paraId="6A2F7991"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 xml:space="preserve">Suyanto, S. (2023). Peningkatan keterampilan berpikir kritis, berkomunikasi, berkolaborasi, dan kreativitas pada matriks melalui kriptografi menggunakan PjBL-STEM. </w:t>
      </w:r>
      <w:r w:rsidRPr="00370682">
        <w:rPr>
          <w:rFonts w:ascii="Cambria" w:hAnsi="Cambria" w:cs="Calibri"/>
          <w:i/>
          <w:iCs/>
          <w:sz w:val="22"/>
          <w:szCs w:val="22"/>
          <w:lang w:val="sv-SE"/>
        </w:rPr>
        <w:t>Ideguru: Jurnal Karya Ilmiah Guru</w:t>
      </w:r>
      <w:r w:rsidRPr="00370682">
        <w:rPr>
          <w:rFonts w:ascii="Cambria" w:hAnsi="Cambria" w:cs="Calibri"/>
          <w:sz w:val="22"/>
          <w:szCs w:val="22"/>
          <w:lang w:val="sv-SE"/>
        </w:rPr>
        <w:t xml:space="preserve">, </w:t>
      </w:r>
      <w:r w:rsidRPr="00370682">
        <w:rPr>
          <w:rFonts w:ascii="Cambria" w:hAnsi="Cambria" w:cs="Calibri"/>
          <w:bCs/>
          <w:sz w:val="22"/>
          <w:szCs w:val="22"/>
          <w:lang w:val="sv-SE"/>
        </w:rPr>
        <w:t>8</w:t>
      </w:r>
      <w:r w:rsidRPr="00370682">
        <w:rPr>
          <w:rFonts w:ascii="Cambria" w:hAnsi="Cambria" w:cs="Calibri"/>
          <w:sz w:val="22"/>
          <w:szCs w:val="22"/>
          <w:lang w:val="sv-SE"/>
        </w:rPr>
        <w:t>(2), 216–225.</w:t>
      </w:r>
    </w:p>
    <w:p w14:paraId="3A579E92" w14:textId="77777777" w:rsidR="00155009"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 xml:space="preserve">Talaen, Y. D., Ardan, A. S., Yusnaeni, &amp; Tokan, M. K. (2025). Analisis penerapan dan pengembangan Kurikulum Merdeka Belajar terhadap karakteristik 4C pembelajaran abad 21 tingkat sekolah menengah atas: Systematic literature review. </w:t>
      </w:r>
      <w:r w:rsidRPr="00370682">
        <w:rPr>
          <w:rFonts w:ascii="Cambria" w:hAnsi="Cambria" w:cs="Calibri"/>
          <w:i/>
          <w:iCs/>
          <w:sz w:val="22"/>
          <w:szCs w:val="22"/>
          <w:lang w:val="sv-SE"/>
        </w:rPr>
        <w:t>MediaSains: Jurnal Ilmiah</w:t>
      </w:r>
      <w:r w:rsidRPr="00370682">
        <w:rPr>
          <w:rFonts w:ascii="Cambria" w:hAnsi="Cambria" w:cs="Calibri"/>
          <w:sz w:val="22"/>
          <w:szCs w:val="22"/>
          <w:lang w:val="sv-SE"/>
        </w:rPr>
        <w:t xml:space="preserve">, </w:t>
      </w:r>
      <w:r w:rsidRPr="00370682">
        <w:rPr>
          <w:rFonts w:ascii="Cambria" w:hAnsi="Cambria" w:cs="Calibri"/>
          <w:bCs/>
          <w:sz w:val="22"/>
          <w:szCs w:val="22"/>
          <w:lang w:val="sv-SE"/>
        </w:rPr>
        <w:t>4</w:t>
      </w:r>
      <w:r w:rsidRPr="00370682">
        <w:rPr>
          <w:rFonts w:ascii="Cambria" w:hAnsi="Cambria" w:cs="Calibri"/>
          <w:sz w:val="22"/>
          <w:szCs w:val="22"/>
          <w:lang w:val="sv-SE"/>
        </w:rPr>
        <w:t>(1), 55–74.</w:t>
      </w:r>
    </w:p>
    <w:p w14:paraId="28741BD6" w14:textId="77777777" w:rsidR="00895BE6" w:rsidRPr="00895BE6" w:rsidRDefault="00895BE6" w:rsidP="00895BE6">
      <w:pPr>
        <w:pStyle w:val="FootnoteText"/>
        <w:ind w:left="720" w:hanging="720"/>
        <w:rPr>
          <w:rFonts w:ascii="Cambria" w:hAnsi="Cambria" w:cs="Calibri"/>
          <w:sz w:val="22"/>
          <w:szCs w:val="22"/>
          <w:lang w:val="sv-SE"/>
        </w:rPr>
      </w:pPr>
      <w:r w:rsidRPr="00895BE6">
        <w:rPr>
          <w:rFonts w:ascii="Cambria" w:hAnsi="Cambria" w:cs="Calibri"/>
          <w:sz w:val="22"/>
          <w:szCs w:val="22"/>
          <w:lang w:val="sv-SE"/>
        </w:rPr>
        <w:t>Permadi, M. A. M., Syaban, W. K., Habibi, M. I., Purnama, F., &amp; Ampera, S. (2026). The Dynamics Of Learning Difficulties Among Students At Islamic Boarding Schools In The Digital Age: Between Tradition And Technological Limitations. Al-Ulum: Jurnal Pendidikan Islam,.</w:t>
      </w:r>
    </w:p>
    <w:p w14:paraId="6A1C5C4E" w14:textId="095CA7C7" w:rsidR="00895BE6" w:rsidRPr="00370682" w:rsidRDefault="00895BE6" w:rsidP="00895BE6">
      <w:pPr>
        <w:pStyle w:val="FootnoteText"/>
        <w:ind w:left="720" w:hanging="720"/>
        <w:jc w:val="both"/>
        <w:rPr>
          <w:rFonts w:ascii="Cambria" w:hAnsi="Cambria" w:cs="Calibri"/>
          <w:sz w:val="22"/>
          <w:szCs w:val="22"/>
          <w:lang w:val="sv-SE"/>
        </w:rPr>
      </w:pPr>
      <w:r w:rsidRPr="00895BE6">
        <w:rPr>
          <w:rFonts w:ascii="Cambria" w:hAnsi="Cambria" w:cs="Calibri"/>
          <w:sz w:val="22"/>
          <w:szCs w:val="22"/>
          <w:lang w:val="sv-SE"/>
        </w:rPr>
        <w:t>Abdulghani, N. A., &amp; Sya'ban, W. K. (2026). Inter-Islamic Law Simulation in Education as an Effort to Build a Community Legal Culture. Amorti: Jurnal Studi Islam Interdisipliner.</w:t>
      </w:r>
    </w:p>
    <w:p w14:paraId="4E6B1A49"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Taliak, J. (2021). </w:t>
      </w:r>
      <w:r w:rsidRPr="00370682">
        <w:rPr>
          <w:rFonts w:ascii="Cambria" w:hAnsi="Cambria" w:cs="Calibri"/>
          <w:i/>
          <w:iCs/>
          <w:sz w:val="22"/>
          <w:szCs w:val="22"/>
          <w:lang w:val="sv-SE"/>
        </w:rPr>
        <w:t>Teori dan model pembelajaran</w:t>
      </w:r>
      <w:r w:rsidRPr="00370682">
        <w:rPr>
          <w:rFonts w:ascii="Cambria" w:hAnsi="Cambria" w:cs="Calibri"/>
          <w:sz w:val="22"/>
          <w:szCs w:val="22"/>
          <w:lang w:val="sv-SE"/>
        </w:rPr>
        <w:t>. Penerbit Adab.</w:t>
      </w:r>
    </w:p>
    <w:p w14:paraId="7DDC34CA"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Wachid, A., Hidayat, M. S., Satar, M., Mabruroh, F., Shofiyatun, S., Ikhram, F., ... &amp; Abyadati, S. (2024). </w:t>
      </w:r>
      <w:r w:rsidRPr="00370682">
        <w:rPr>
          <w:rFonts w:ascii="Cambria" w:hAnsi="Cambria" w:cs="Calibri"/>
          <w:i/>
          <w:iCs/>
          <w:sz w:val="22"/>
          <w:szCs w:val="22"/>
          <w:lang w:val="sv-SE"/>
        </w:rPr>
        <w:t>Manajemen Pengendalian Mutu Pendidikan</w:t>
      </w:r>
      <w:r w:rsidRPr="00370682">
        <w:rPr>
          <w:rFonts w:ascii="Cambria" w:hAnsi="Cambria" w:cs="Calibri"/>
          <w:sz w:val="22"/>
          <w:szCs w:val="22"/>
          <w:lang w:val="sv-SE"/>
        </w:rPr>
        <w:t>. TOHAR MEDIA.</w:t>
      </w:r>
    </w:p>
    <w:p w14:paraId="03E21429" w14:textId="77777777" w:rsidR="00155009" w:rsidRPr="00370682" w:rsidRDefault="00155009" w:rsidP="00895BE6">
      <w:pPr>
        <w:pStyle w:val="FootnoteText"/>
        <w:ind w:left="720" w:hanging="720"/>
        <w:jc w:val="both"/>
        <w:rPr>
          <w:rFonts w:ascii="Cambria" w:hAnsi="Cambria" w:cs="Calibri"/>
          <w:sz w:val="22"/>
          <w:szCs w:val="22"/>
        </w:rPr>
      </w:pPr>
      <w:r w:rsidRPr="00370682">
        <w:rPr>
          <w:rFonts w:ascii="Cambria" w:hAnsi="Cambria" w:cs="Calibri"/>
          <w:sz w:val="22"/>
          <w:szCs w:val="22"/>
          <w:lang w:val="sv-SE"/>
        </w:rPr>
        <w:t xml:space="preserve">Waruwu, L. (2024). Analisis mendalam terhadap perubahan keterampilan berpikir kritis siswa melalui penerapan Kurikulum Merdeka Belajar. </w:t>
      </w:r>
      <w:r w:rsidRPr="00370682">
        <w:rPr>
          <w:rFonts w:ascii="Cambria" w:hAnsi="Cambria" w:cs="Calibri"/>
          <w:i/>
          <w:iCs/>
          <w:sz w:val="22"/>
          <w:szCs w:val="22"/>
        </w:rPr>
        <w:t>Journal of Educational Review</w:t>
      </w:r>
      <w:r w:rsidRPr="00370682">
        <w:rPr>
          <w:rFonts w:ascii="Cambria" w:hAnsi="Cambria" w:cs="Calibri"/>
          <w:sz w:val="22"/>
          <w:szCs w:val="22"/>
        </w:rPr>
        <w:t xml:space="preserve">, </w:t>
      </w:r>
      <w:r w:rsidRPr="00370682">
        <w:rPr>
          <w:rFonts w:ascii="Cambria" w:hAnsi="Cambria" w:cs="Calibri"/>
          <w:bCs/>
          <w:sz w:val="22"/>
          <w:szCs w:val="22"/>
        </w:rPr>
        <w:t>5</w:t>
      </w:r>
      <w:r w:rsidRPr="00370682">
        <w:rPr>
          <w:rFonts w:ascii="Cambria" w:hAnsi="Cambria" w:cs="Calibri"/>
          <w:sz w:val="22"/>
          <w:szCs w:val="22"/>
        </w:rPr>
        <w:t>(3), 3783–3789.</w:t>
      </w:r>
    </w:p>
    <w:p w14:paraId="132C163B"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rPr>
        <w:t xml:space="preserve">Wicaksana, E. J., &amp; Sanjaya, M. E. (2022). Model PjBL pada era Merdeka Belajar untuk meningkatkan sikap ilmiah dan kreativitas mahasiswa mata kuliah Belajar dan Pembelajaran. </w:t>
      </w:r>
      <w:r w:rsidRPr="00370682">
        <w:rPr>
          <w:rFonts w:ascii="Cambria" w:hAnsi="Cambria" w:cs="Calibri"/>
          <w:i/>
          <w:iCs/>
          <w:sz w:val="22"/>
          <w:szCs w:val="22"/>
          <w:lang w:val="sv-SE"/>
        </w:rPr>
        <w:t>Jurnal Ilmiah Pendidikan dan Pembelajaran</w:t>
      </w:r>
      <w:r w:rsidRPr="00370682">
        <w:rPr>
          <w:rFonts w:ascii="Cambria" w:hAnsi="Cambria" w:cs="Calibri"/>
          <w:sz w:val="22"/>
          <w:szCs w:val="22"/>
          <w:lang w:val="sv-SE"/>
        </w:rPr>
        <w:t xml:space="preserve">, </w:t>
      </w:r>
      <w:r w:rsidRPr="00370682">
        <w:rPr>
          <w:rFonts w:ascii="Cambria" w:hAnsi="Cambria" w:cs="Calibri"/>
          <w:bCs/>
          <w:sz w:val="22"/>
          <w:szCs w:val="22"/>
          <w:lang w:val="sv-SE"/>
        </w:rPr>
        <w:t>6</w:t>
      </w:r>
      <w:r w:rsidRPr="00370682">
        <w:rPr>
          <w:rFonts w:ascii="Cambria" w:hAnsi="Cambria" w:cs="Calibri"/>
          <w:sz w:val="22"/>
          <w:szCs w:val="22"/>
          <w:lang w:val="sv-SE"/>
        </w:rPr>
        <w:t>(1), 193–200.</w:t>
      </w:r>
    </w:p>
    <w:p w14:paraId="1D5D84CA"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Widagdo, T. B. (2024). Pandangan Konseptual Pendekatan Mendalam Menuju “Transformasi Pendidikan”. </w:t>
      </w:r>
      <w:r w:rsidRPr="00370682">
        <w:rPr>
          <w:rFonts w:ascii="Cambria" w:hAnsi="Cambria" w:cs="Calibri"/>
          <w:i/>
          <w:iCs/>
          <w:sz w:val="22"/>
          <w:szCs w:val="22"/>
          <w:lang w:val="sv-SE"/>
        </w:rPr>
        <w:t>Jurnal Cerdik: Jurnal Pendidikan dan Pengajaran</w:t>
      </w:r>
      <w:r w:rsidRPr="00370682">
        <w:rPr>
          <w:rFonts w:ascii="Cambria" w:hAnsi="Cambria" w:cs="Calibri"/>
          <w:sz w:val="22"/>
          <w:szCs w:val="22"/>
          <w:lang w:val="sv-SE"/>
        </w:rPr>
        <w:t>, </w:t>
      </w:r>
      <w:r w:rsidRPr="00370682">
        <w:rPr>
          <w:rFonts w:ascii="Cambria" w:hAnsi="Cambria" w:cs="Calibri"/>
          <w:i/>
          <w:iCs/>
          <w:sz w:val="22"/>
          <w:szCs w:val="22"/>
          <w:lang w:val="sv-SE"/>
        </w:rPr>
        <w:t>4</w:t>
      </w:r>
      <w:r w:rsidRPr="00370682">
        <w:rPr>
          <w:rFonts w:ascii="Cambria" w:hAnsi="Cambria" w:cs="Calibri"/>
          <w:sz w:val="22"/>
          <w:szCs w:val="22"/>
          <w:lang w:val="sv-SE"/>
        </w:rPr>
        <w:t>(1), 83-107.</w:t>
      </w:r>
    </w:p>
    <w:p w14:paraId="27BC0B6E" w14:textId="77777777" w:rsidR="00155009" w:rsidRPr="00370682" w:rsidRDefault="00155009" w:rsidP="00895BE6">
      <w:pPr>
        <w:pStyle w:val="FootnoteText"/>
        <w:ind w:left="720" w:hanging="720"/>
        <w:jc w:val="both"/>
        <w:rPr>
          <w:rFonts w:ascii="Cambria" w:hAnsi="Cambria" w:cs="Calibri"/>
          <w:sz w:val="22"/>
          <w:szCs w:val="22"/>
          <w:lang w:val="sv-SE"/>
        </w:rPr>
      </w:pPr>
      <w:r w:rsidRPr="00370682">
        <w:rPr>
          <w:rFonts w:ascii="Cambria" w:hAnsi="Cambria" w:cs="Calibri"/>
          <w:sz w:val="22"/>
          <w:szCs w:val="22"/>
          <w:lang w:val="sv-SE"/>
        </w:rPr>
        <w:t xml:space="preserve">Yuliana, Y. (2024). Inovasi PjBL dalam Kurikulum Merdeka untuk meningkatkan keterampilan berpikir kritis dan kreatif peserta didik SD. </w:t>
      </w:r>
      <w:r w:rsidRPr="00370682">
        <w:rPr>
          <w:rFonts w:ascii="Cambria" w:hAnsi="Cambria" w:cs="Calibri"/>
          <w:i/>
          <w:iCs/>
          <w:sz w:val="22"/>
          <w:szCs w:val="22"/>
          <w:lang w:val="sv-SE"/>
        </w:rPr>
        <w:t>JEP: Jurnal Edukasi dan Pengajaran</w:t>
      </w:r>
      <w:r w:rsidRPr="00370682">
        <w:rPr>
          <w:rFonts w:ascii="Cambria" w:hAnsi="Cambria" w:cs="Calibri"/>
          <w:sz w:val="22"/>
          <w:szCs w:val="22"/>
          <w:lang w:val="sv-SE"/>
        </w:rPr>
        <w:t xml:space="preserve">, </w:t>
      </w:r>
      <w:r w:rsidRPr="00370682">
        <w:rPr>
          <w:rFonts w:ascii="Cambria" w:hAnsi="Cambria" w:cs="Calibri"/>
          <w:bCs/>
          <w:sz w:val="22"/>
          <w:szCs w:val="22"/>
          <w:lang w:val="sv-SE"/>
        </w:rPr>
        <w:t>1</w:t>
      </w:r>
      <w:r w:rsidRPr="00370682">
        <w:rPr>
          <w:rFonts w:ascii="Cambria" w:hAnsi="Cambria" w:cs="Calibri"/>
          <w:sz w:val="22"/>
          <w:szCs w:val="22"/>
          <w:lang w:val="sv-SE"/>
        </w:rPr>
        <w:t>(1), 7–12.</w:t>
      </w:r>
    </w:p>
    <w:p w14:paraId="6CB73ABB" w14:textId="77CA1AD7" w:rsidR="009146E3" w:rsidRPr="00370682" w:rsidRDefault="00155009" w:rsidP="00895BE6">
      <w:pPr>
        <w:pStyle w:val="FootnoteText"/>
        <w:ind w:left="720" w:hanging="720"/>
        <w:jc w:val="both"/>
        <w:rPr>
          <w:rFonts w:ascii="Cambria" w:hAnsi="Cambria" w:cs="Calibri"/>
          <w:sz w:val="22"/>
          <w:szCs w:val="22"/>
          <w:lang w:val="en-ID"/>
        </w:rPr>
      </w:pPr>
      <w:r w:rsidRPr="00370682">
        <w:rPr>
          <w:rFonts w:ascii="Cambria" w:hAnsi="Cambria" w:cs="Calibri"/>
          <w:sz w:val="22"/>
          <w:szCs w:val="22"/>
          <w:lang w:val="sv-SE"/>
        </w:rPr>
        <w:t>Zaeni, A., Sari, N. H. M., Syukron, A. A., Fahmy, A. F. R., Prabowo, D. S., Ali, F., &amp; Faradhillah, N. (2023). </w:t>
      </w:r>
      <w:r w:rsidRPr="00370682">
        <w:rPr>
          <w:rFonts w:ascii="Cambria" w:hAnsi="Cambria" w:cs="Calibri"/>
          <w:i/>
          <w:iCs/>
          <w:sz w:val="22"/>
          <w:szCs w:val="22"/>
          <w:lang w:val="en-ID"/>
        </w:rPr>
        <w:t>Kurikulum Merdeka pada pembelajaran di madrasah</w:t>
      </w:r>
      <w:r w:rsidRPr="00370682">
        <w:rPr>
          <w:rFonts w:ascii="Cambria" w:hAnsi="Cambria" w:cs="Calibri"/>
          <w:sz w:val="22"/>
          <w:szCs w:val="22"/>
          <w:lang w:val="en-ID"/>
        </w:rPr>
        <w:t>. Penerbit NEM.</w:t>
      </w:r>
    </w:p>
    <w:sectPr w:rsidR="009146E3" w:rsidRPr="00370682" w:rsidSect="00370682">
      <w:headerReference w:type="even" r:id="rId16"/>
      <w:headerReference w:type="default" r:id="rId17"/>
      <w:footerReference w:type="even" r:id="rId18"/>
      <w:footerReference w:type="default" r:id="rId19"/>
      <w:headerReference w:type="first" r:id="rId20"/>
      <w:footerReference w:type="first" r:id="rId21"/>
      <w:pgSz w:w="11907" w:h="16839"/>
      <w:pgMar w:top="1418" w:right="1418" w:bottom="1418" w:left="1701" w:header="709" w:footer="709" w:gutter="0"/>
      <w:pgNumType w:start="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06648" w14:textId="77777777" w:rsidR="00526719" w:rsidRDefault="00526719">
      <w:r>
        <w:separator/>
      </w:r>
    </w:p>
  </w:endnote>
  <w:endnote w:type="continuationSeparator" w:id="0">
    <w:p w14:paraId="42CAF5F5" w14:textId="77777777" w:rsidR="00526719" w:rsidRDefault="00526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dobe Devanagari">
    <w:altName w:val="Cambria"/>
    <w:panose1 w:val="00000000000000000000"/>
    <w:charset w:val="00"/>
    <w:family w:val="roman"/>
    <w:notTrueType/>
    <w:pitch w:val="variable"/>
    <w:sig w:usb0="A00080EF" w:usb1="4000204A" w:usb2="00000000" w:usb3="00000000" w:csb0="0000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278231"/>
    </w:sdtPr>
    <w:sdtEndPr>
      <w:rPr>
        <w:rFonts w:ascii="Cambria" w:hAnsi="Cambria"/>
        <w:i/>
        <w:iCs/>
        <w:sz w:val="18"/>
        <w:szCs w:val="18"/>
      </w:rPr>
    </w:sdtEndPr>
    <w:sdtContent>
      <w:p w14:paraId="641DC794" w14:textId="4A8D3D8D" w:rsidR="009146E3" w:rsidRDefault="0071766D" w:rsidP="00214CCF">
        <w:pPr>
          <w:pStyle w:val="Footer"/>
          <w:pBdr>
            <w:top w:val="single" w:sz="12" w:space="1" w:color="00B050"/>
          </w:pBdr>
          <w:tabs>
            <w:tab w:val="clear" w:pos="4680"/>
            <w:tab w:val="center" w:pos="6237"/>
            <w:tab w:val="left" w:pos="6379"/>
          </w:tabs>
          <w:rPr>
            <w:rFonts w:ascii="Cambria" w:hAnsi="Cambria"/>
            <w:i/>
            <w:iCs/>
            <w:sz w:val="18"/>
            <w:szCs w:val="18"/>
          </w:rPr>
        </w:pPr>
        <w:r>
          <w:rPr>
            <w:rFonts w:ascii="Cambria" w:hAnsi="Cambria"/>
            <w:sz w:val="18"/>
            <w:szCs w:val="18"/>
          </w:rPr>
          <w:fldChar w:fldCharType="begin"/>
        </w:r>
        <w:r>
          <w:rPr>
            <w:rFonts w:ascii="Cambria" w:hAnsi="Cambria"/>
            <w:sz w:val="18"/>
            <w:szCs w:val="18"/>
          </w:rPr>
          <w:instrText xml:space="preserve"> PAGE   \* MERGEFORMAT </w:instrText>
        </w:r>
        <w:r>
          <w:rPr>
            <w:rFonts w:ascii="Cambria" w:hAnsi="Cambria"/>
            <w:sz w:val="18"/>
            <w:szCs w:val="18"/>
          </w:rPr>
          <w:fldChar w:fldCharType="separate"/>
        </w:r>
        <w:r w:rsidR="003C7E08">
          <w:rPr>
            <w:rFonts w:ascii="Cambria" w:hAnsi="Cambria"/>
            <w:noProof/>
            <w:sz w:val="18"/>
            <w:szCs w:val="18"/>
          </w:rPr>
          <w:t>124</w:t>
        </w:r>
        <w:r>
          <w:rPr>
            <w:rFonts w:ascii="Cambria" w:hAnsi="Cambria"/>
            <w:sz w:val="18"/>
            <w:szCs w:val="18"/>
          </w:rPr>
          <w:fldChar w:fldCharType="end"/>
        </w:r>
        <w:r>
          <w:rPr>
            <w:rFonts w:ascii="Cambria" w:hAnsi="Cambria"/>
            <w:i/>
            <w:iCs/>
            <w:sz w:val="18"/>
            <w:szCs w:val="18"/>
            <w:lang w:val="id-ID"/>
          </w:rPr>
          <w:tab/>
        </w:r>
        <w:r w:rsidR="00FB0835">
          <w:rPr>
            <w:rFonts w:ascii="Cambria" w:hAnsi="Cambria"/>
            <w:i/>
            <w:iCs/>
            <w:sz w:val="18"/>
            <w:szCs w:val="18"/>
            <w:lang w:val="id-ID"/>
          </w:rPr>
          <w:t xml:space="preserve">                                   </w:t>
        </w:r>
        <w:r w:rsidR="003E4601">
          <w:rPr>
            <w:rFonts w:ascii="Cambria" w:hAnsi="Cambria"/>
            <w:i/>
            <w:iCs/>
            <w:sz w:val="18"/>
            <w:szCs w:val="18"/>
            <w:lang w:val="id-ID"/>
          </w:rPr>
          <w:t xml:space="preserve">    </w:t>
        </w:r>
        <w:r w:rsidR="00FB0835">
          <w:rPr>
            <w:rFonts w:ascii="Cambria" w:hAnsi="Cambria"/>
            <w:i/>
            <w:iCs/>
            <w:sz w:val="18"/>
            <w:szCs w:val="18"/>
            <w:lang w:val="id-ID"/>
          </w:rPr>
          <w:t xml:space="preserve">       </w:t>
        </w:r>
        <w:r w:rsidR="00895BE6">
          <w:rPr>
            <w:rFonts w:ascii="Cambria" w:hAnsi="Cambria"/>
            <w:i/>
            <w:iCs/>
            <w:sz w:val="18"/>
            <w:szCs w:val="18"/>
            <w:lang w:val="id-ID"/>
          </w:rPr>
          <w:t xml:space="preserve">Sukron Jamil </w:t>
        </w:r>
        <w:r>
          <w:rPr>
            <w:rFonts w:ascii="Cambria" w:hAnsi="Cambria"/>
            <w:i/>
            <w:iCs/>
            <w:sz w:val="18"/>
            <w:szCs w:val="18"/>
            <w:lang w:val="id-ID"/>
          </w:rPr>
          <w:t>et.al  (</w:t>
        </w:r>
        <w:r w:rsidR="00895BE6" w:rsidRPr="00895BE6">
          <w:rPr>
            <w:rFonts w:ascii="Cambria" w:hAnsi="Cambria"/>
            <w:i/>
            <w:iCs/>
            <w:sz w:val="18"/>
            <w:szCs w:val="18"/>
            <w:lang w:val="id-ID"/>
          </w:rPr>
          <w:t>Analyze the Merdeka Curriculum Policy</w:t>
        </w:r>
        <w:r w:rsidR="00214CCF" w:rsidRPr="00214CCF">
          <w:rPr>
            <w:rFonts w:ascii="Cambria" w:hAnsi="Cambria"/>
            <w:i/>
            <w:iCs/>
            <w:sz w:val="18"/>
            <w:szCs w:val="18"/>
            <w:lang w:val="id-ID"/>
          </w:rPr>
          <w:t xml:space="preserve"> </w:t>
        </w:r>
        <w:r>
          <w:rPr>
            <w:rFonts w:ascii="Cambria" w:hAnsi="Cambria"/>
            <w:i/>
            <w:iCs/>
            <w:sz w:val="18"/>
            <w:szCs w:val="18"/>
            <w:lang w:val="id-ID"/>
          </w:rPr>
          <w:t>…)</w:t>
        </w:r>
      </w:p>
    </w:sdtContent>
  </w:sdt>
  <w:p w14:paraId="657E5B5F" w14:textId="77777777" w:rsidR="009146E3" w:rsidRDefault="009146E3">
    <w:pPr>
      <w:pStyle w:val="Footer"/>
      <w:rPr>
        <w:rFonts w:ascii="Cambria" w:hAnsi="Cambria"/>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0119"/>
    </w:sdtPr>
    <w:sdtContent>
      <w:p w14:paraId="57D33CC8" w14:textId="7B833EB1" w:rsidR="009146E3" w:rsidRDefault="00895BE6" w:rsidP="00AE2D48">
        <w:pPr>
          <w:pStyle w:val="Footer"/>
          <w:pBdr>
            <w:top w:val="single" w:sz="12" w:space="1" w:color="00B050"/>
          </w:pBdr>
          <w:tabs>
            <w:tab w:val="clear" w:pos="9360"/>
            <w:tab w:val="right" w:pos="8789"/>
          </w:tabs>
        </w:pPr>
        <w:r>
          <w:rPr>
            <w:rFonts w:ascii="Cambria" w:hAnsi="Cambria"/>
            <w:i/>
            <w:iCs/>
            <w:sz w:val="18"/>
            <w:szCs w:val="18"/>
            <w:lang w:val="id-ID"/>
          </w:rPr>
          <w:t>Sukron Jamil et.al  (</w:t>
        </w:r>
        <w:r w:rsidRPr="00895BE6">
          <w:rPr>
            <w:rFonts w:ascii="Cambria" w:hAnsi="Cambria"/>
            <w:i/>
            <w:iCs/>
            <w:sz w:val="18"/>
            <w:szCs w:val="18"/>
            <w:lang w:val="id-ID"/>
          </w:rPr>
          <w:t>Analyze the Merdeka Curriculum Policy</w:t>
        </w:r>
        <w:r w:rsidRPr="00214CCF">
          <w:rPr>
            <w:rFonts w:ascii="Cambria" w:hAnsi="Cambria"/>
            <w:i/>
            <w:iCs/>
            <w:sz w:val="18"/>
            <w:szCs w:val="18"/>
            <w:lang w:val="id-ID"/>
          </w:rPr>
          <w:t xml:space="preserve"> </w:t>
        </w:r>
        <w:r>
          <w:rPr>
            <w:rFonts w:ascii="Cambria" w:hAnsi="Cambria"/>
            <w:i/>
            <w:iCs/>
            <w:sz w:val="18"/>
            <w:szCs w:val="18"/>
            <w:lang w:val="id-ID"/>
          </w:rPr>
          <w:t>…)</w:t>
        </w:r>
        <w:r w:rsidR="00302C3C">
          <w:tab/>
        </w:r>
        <w:r w:rsidR="0071766D">
          <w:rPr>
            <w:lang w:val="id-ID"/>
          </w:rPr>
          <w:tab/>
        </w:r>
        <w:r w:rsidR="0071766D">
          <w:fldChar w:fldCharType="begin"/>
        </w:r>
        <w:r w:rsidR="0071766D">
          <w:instrText xml:space="preserve"> PAGE   \* MERGEFORMAT </w:instrText>
        </w:r>
        <w:r w:rsidR="0071766D">
          <w:fldChar w:fldCharType="separate"/>
        </w:r>
        <w:r w:rsidR="003C7E08">
          <w:rPr>
            <w:noProof/>
          </w:rPr>
          <w:t>123</w:t>
        </w:r>
        <w:r w:rsidR="0071766D">
          <w:fldChar w:fldCharType="end"/>
        </w:r>
      </w:p>
    </w:sdtContent>
  </w:sdt>
  <w:p w14:paraId="5DCF985A" w14:textId="77777777" w:rsidR="009146E3" w:rsidRDefault="00914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793710"/>
    </w:sdtPr>
    <w:sdtEndPr>
      <w:rPr>
        <w:b/>
        <w:bCs/>
      </w:rPr>
    </w:sdtEndPr>
    <w:sdtContent>
      <w:p w14:paraId="7F19FBE6" w14:textId="343E3314" w:rsidR="009146E3" w:rsidRDefault="0071766D">
        <w:pPr>
          <w:pStyle w:val="Footer"/>
          <w:pBdr>
            <w:top w:val="single" w:sz="12" w:space="0" w:color="00B050"/>
          </w:pBdr>
          <w:tabs>
            <w:tab w:val="right" w:pos="8789"/>
          </w:tabs>
          <w:ind w:right="-1"/>
          <w:rPr>
            <w:lang w:val="id-ID"/>
          </w:rPr>
        </w:pPr>
        <w:r>
          <w:rPr>
            <w:noProof/>
          </w:rPr>
          <w:drawing>
            <wp:anchor distT="0" distB="0" distL="114300" distR="114300" simplePos="0" relativeHeight="251662336" behindDoc="0" locked="0" layoutInCell="1" allowOverlap="1" wp14:anchorId="41DECA61" wp14:editId="1B06B665">
              <wp:simplePos x="0" y="0"/>
              <wp:positionH relativeFrom="column">
                <wp:posOffset>3288030</wp:posOffset>
              </wp:positionH>
              <wp:positionV relativeFrom="paragraph">
                <wp:posOffset>28575</wp:posOffset>
              </wp:positionV>
              <wp:extent cx="210820" cy="210820"/>
              <wp:effectExtent l="0" t="0" r="0" b="0"/>
              <wp:wrapNone/>
              <wp:docPr id="17" name="Picture 5" descr="Description: Description: 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2" descr="Description: Description: 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10820" cy="210820"/>
                      </a:xfrm>
                      <a:prstGeom prst="rect">
                        <a:avLst/>
                      </a:prstGeom>
                      <a:noFill/>
                      <a:ln>
                        <a:noFill/>
                      </a:ln>
                    </pic:spPr>
                  </pic:pic>
                </a:graphicData>
              </a:graphic>
            </wp:anchor>
          </w:drawing>
        </w:r>
        <w:r>
          <w:rPr>
            <w:noProof/>
          </w:rPr>
          <w:drawing>
            <wp:anchor distT="0" distB="0" distL="114300" distR="114300" simplePos="0" relativeHeight="251663360" behindDoc="0" locked="0" layoutInCell="1" allowOverlap="1" wp14:anchorId="6B8FFB48" wp14:editId="0DA7FB03">
              <wp:simplePos x="0" y="0"/>
              <wp:positionH relativeFrom="column">
                <wp:posOffset>-15240</wp:posOffset>
              </wp:positionH>
              <wp:positionV relativeFrom="paragraph">
                <wp:posOffset>33020</wp:posOffset>
              </wp:positionV>
              <wp:extent cx="182880" cy="182880"/>
              <wp:effectExtent l="0" t="0" r="0" b="0"/>
              <wp:wrapNone/>
              <wp:docPr id="18" name="Picture 6" descr="Description: Description: kissclipart-digital-object-identifier-doi-clipart-digital-obje-9e5d932492cf1b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6" descr="Description: Description: kissclipart-digital-object-identifier-doi-clipart-digital-obje-9e5d932492cf1b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anchor>
          </w:drawing>
        </w:r>
        <w:r w:rsidRPr="004A5D79">
          <w:rPr>
            <w:sz w:val="18"/>
            <w:szCs w:val="18"/>
            <w:lang w:val="sv-SE"/>
          </w:rPr>
          <w:t xml:space="preserve">          10.51468/jpi.v3i1.56                                                                          </w:t>
        </w:r>
        <w:hyperlink r:id="rId3" w:history="1">
          <w:r w:rsidRPr="004A5D79">
            <w:rPr>
              <w:rStyle w:val="Hyperlink"/>
              <w:lang w:val="sv-SE"/>
            </w:rPr>
            <w:t>jurnal-atturots@stitmadani.ac.id</w:t>
          </w:r>
        </w:hyperlink>
        <w:r>
          <w:rPr>
            <w:lang w:val="id-ID"/>
          </w:rPr>
          <w:tab/>
        </w:r>
        <w:r>
          <w:rPr>
            <w:b/>
            <w:bCs/>
            <w:sz w:val="18"/>
            <w:szCs w:val="18"/>
          </w:rPr>
          <w:fldChar w:fldCharType="begin"/>
        </w:r>
        <w:r w:rsidRPr="004A5D79">
          <w:rPr>
            <w:b/>
            <w:bCs/>
            <w:sz w:val="18"/>
            <w:szCs w:val="18"/>
            <w:lang w:val="sv-SE"/>
          </w:rPr>
          <w:instrText xml:space="preserve"> PAGE   \* MERGEFORMAT </w:instrText>
        </w:r>
        <w:r>
          <w:rPr>
            <w:b/>
            <w:bCs/>
            <w:sz w:val="18"/>
            <w:szCs w:val="18"/>
          </w:rPr>
          <w:fldChar w:fldCharType="separate"/>
        </w:r>
        <w:r w:rsidR="00125A07">
          <w:rPr>
            <w:b/>
            <w:bCs/>
            <w:noProof/>
            <w:sz w:val="18"/>
            <w:szCs w:val="18"/>
            <w:lang w:val="sv-SE"/>
          </w:rPr>
          <w:t>110</w:t>
        </w:r>
        <w:r>
          <w:rPr>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6E220" w14:textId="77777777" w:rsidR="00526719" w:rsidRDefault="00526719">
      <w:r>
        <w:separator/>
      </w:r>
    </w:p>
  </w:footnote>
  <w:footnote w:type="continuationSeparator" w:id="0">
    <w:p w14:paraId="464A856F" w14:textId="77777777" w:rsidR="00526719" w:rsidRDefault="00526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0C14" w14:textId="77777777" w:rsidR="009146E3" w:rsidRDefault="0071766D">
    <w:pPr>
      <w:pStyle w:val="Header"/>
      <w:tabs>
        <w:tab w:val="clear" w:pos="4680"/>
        <w:tab w:val="right" w:pos="851"/>
        <w:tab w:val="left" w:pos="1276"/>
        <w:tab w:val="center" w:pos="7088"/>
        <w:tab w:val="left" w:pos="7230"/>
        <w:tab w:val="right" w:pos="9072"/>
      </w:tabs>
      <w:rPr>
        <w:rFonts w:ascii="Cambria" w:hAnsi="Cambria"/>
        <w:i/>
        <w:iCs/>
        <w:sz w:val="18"/>
        <w:szCs w:val="18"/>
        <w:lang w:val="en-GB"/>
      </w:rPr>
    </w:pPr>
    <w:r>
      <w:rPr>
        <w:rFonts w:ascii="Cambria" w:hAnsi="Cambria"/>
        <w:i/>
        <w:iCs/>
        <w:sz w:val="18"/>
        <w:szCs w:val="18"/>
        <w:lang w:val="id-ID"/>
      </w:rPr>
      <w:t xml:space="preserve">At Turots: Jurnal Pendidikan </w:t>
    </w:r>
    <w:r>
      <w:rPr>
        <w:rFonts w:ascii="Cambria" w:hAnsi="Cambria"/>
        <w:i/>
        <w:iCs/>
        <w:sz w:val="18"/>
        <w:szCs w:val="18"/>
        <w:lang w:val="zh-CN"/>
      </w:rPr>
      <w:t>Islam</w:t>
    </w:r>
    <w:r>
      <w:rPr>
        <w:rFonts w:ascii="Cambria" w:hAnsi="Cambria"/>
        <w:i/>
        <w:iCs/>
        <w:sz w:val="18"/>
        <w:szCs w:val="18"/>
        <w:lang w:val="en-GB"/>
      </w:rPr>
      <w:tab/>
      <w:t xml:space="preserve">                                                         </w:t>
    </w:r>
    <w:r>
      <w:rPr>
        <w:rFonts w:ascii="Cambria" w:hAnsi="Cambria"/>
        <w:sz w:val="18"/>
        <w:szCs w:val="18"/>
      </w:rPr>
      <w:t xml:space="preserve">ISSN </w:t>
    </w:r>
    <w:hyperlink r:id="rId1" w:history="1">
      <w:r>
        <w:rPr>
          <w:rStyle w:val="Hyperlink"/>
          <w:rFonts w:ascii="Cambria" w:hAnsi="Cambria"/>
          <w:sz w:val="18"/>
          <w:szCs w:val="18"/>
        </w:rPr>
        <w:t>2747-089X</w:t>
      </w:r>
    </w:hyperlink>
  </w:p>
  <w:p w14:paraId="269A2F0A" w14:textId="08E531E6" w:rsidR="009146E3" w:rsidRDefault="00236323" w:rsidP="00236323">
    <w:pPr>
      <w:pStyle w:val="Header"/>
      <w:pBdr>
        <w:bottom w:val="single" w:sz="12" w:space="1" w:color="00B050"/>
      </w:pBdr>
      <w:tabs>
        <w:tab w:val="right" w:pos="851"/>
        <w:tab w:val="left" w:pos="1276"/>
        <w:tab w:val="left" w:pos="5258"/>
      </w:tabs>
      <w:spacing w:after="240"/>
      <w:rPr>
        <w:rFonts w:ascii="Cambria" w:hAnsi="Cambria"/>
        <w:i/>
        <w:sz w:val="18"/>
        <w:szCs w:val="18"/>
        <w:lang w:val="id-ID" w:eastAsia="zh-CN"/>
      </w:rPr>
    </w:pPr>
    <w:r w:rsidRPr="00236323">
      <w:rPr>
        <w:rFonts w:ascii="Cambria" w:hAnsi="Cambria"/>
        <w:i/>
        <w:sz w:val="18"/>
        <w:szCs w:val="18"/>
        <w:lang w:eastAsia="zh-CN"/>
      </w:rPr>
      <w:t>Vol. ,8 No. 1, Juni 2026, pp. 75-8</w:t>
    </w:r>
    <w:r w:rsidR="00691D9B">
      <w:rPr>
        <w:rFonts w:ascii="Cambria" w:hAnsi="Cambria"/>
        <w:i/>
        <w:sz w:val="18"/>
        <w:szCs w:val="18"/>
        <w:lang w:eastAsia="zh-CN"/>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AACEE" w14:textId="2DEE9AFB" w:rsidR="009146E3" w:rsidRDefault="0071766D">
    <w:pPr>
      <w:pStyle w:val="Header"/>
      <w:tabs>
        <w:tab w:val="clear" w:pos="4680"/>
        <w:tab w:val="right" w:pos="851"/>
        <w:tab w:val="left" w:pos="1276"/>
        <w:tab w:val="center" w:pos="7088"/>
        <w:tab w:val="left" w:pos="7230"/>
        <w:tab w:val="right" w:pos="9072"/>
      </w:tabs>
      <w:rPr>
        <w:rFonts w:ascii="Cambria" w:hAnsi="Cambria"/>
        <w:i/>
        <w:iCs/>
        <w:sz w:val="18"/>
        <w:szCs w:val="18"/>
        <w:lang w:val="en-GB"/>
      </w:rPr>
    </w:pPr>
    <w:r>
      <w:rPr>
        <w:rFonts w:ascii="Cambria" w:hAnsi="Cambria"/>
        <w:i/>
        <w:iCs/>
        <w:sz w:val="18"/>
        <w:szCs w:val="18"/>
        <w:lang w:val="id-ID"/>
      </w:rPr>
      <w:t xml:space="preserve">At Turots: Jurnal Pendidikan </w:t>
    </w:r>
    <w:r>
      <w:rPr>
        <w:rFonts w:ascii="Cambria" w:hAnsi="Cambria"/>
        <w:i/>
        <w:iCs/>
        <w:sz w:val="18"/>
        <w:szCs w:val="18"/>
        <w:lang w:val="zh-CN"/>
      </w:rPr>
      <w:t>Islam</w:t>
    </w:r>
    <w:r>
      <w:rPr>
        <w:rFonts w:ascii="Cambria" w:hAnsi="Cambria"/>
        <w:i/>
        <w:iCs/>
        <w:sz w:val="18"/>
        <w:szCs w:val="18"/>
        <w:lang w:val="en-GB"/>
      </w:rPr>
      <w:tab/>
      <w:t xml:space="preserve">                                                         </w:t>
    </w:r>
    <w:r>
      <w:rPr>
        <w:rFonts w:ascii="Cambria" w:hAnsi="Cambria"/>
        <w:sz w:val="18"/>
        <w:szCs w:val="18"/>
      </w:rPr>
      <w:t xml:space="preserve">ISSN </w:t>
    </w:r>
    <w:hyperlink r:id="rId1" w:history="1">
      <w:r>
        <w:rPr>
          <w:rStyle w:val="Hyperlink"/>
          <w:rFonts w:ascii="Cambria" w:hAnsi="Cambria"/>
          <w:sz w:val="18"/>
          <w:szCs w:val="18"/>
        </w:rPr>
        <w:t>2747-089X</w:t>
      </w:r>
    </w:hyperlink>
  </w:p>
  <w:p w14:paraId="0EC8FCB5" w14:textId="3E81BC3F" w:rsidR="009146E3" w:rsidRDefault="00236323" w:rsidP="00236323">
    <w:pPr>
      <w:pStyle w:val="Header"/>
      <w:pBdr>
        <w:bottom w:val="single" w:sz="12" w:space="1" w:color="00B050"/>
      </w:pBdr>
      <w:tabs>
        <w:tab w:val="right" w:pos="851"/>
        <w:tab w:val="left" w:pos="1276"/>
        <w:tab w:val="left" w:pos="5258"/>
      </w:tabs>
      <w:spacing w:after="240"/>
      <w:rPr>
        <w:rFonts w:ascii="Cambria" w:hAnsi="Cambria"/>
        <w:i/>
        <w:sz w:val="18"/>
        <w:szCs w:val="18"/>
        <w:lang w:val="id-ID" w:eastAsia="zh-CN"/>
      </w:rPr>
    </w:pPr>
    <w:r w:rsidRPr="00236323">
      <w:rPr>
        <w:rFonts w:ascii="Cambria" w:hAnsi="Cambria"/>
        <w:i/>
        <w:sz w:val="18"/>
        <w:szCs w:val="18"/>
        <w:lang w:eastAsia="zh-CN"/>
      </w:rPr>
      <w:t>Vol. ,8 No. 1, Juni 2026, pp. 75-8</w:t>
    </w:r>
    <w:r w:rsidR="00691D9B">
      <w:rPr>
        <w:rFonts w:ascii="Cambria" w:hAnsi="Cambria"/>
        <w:i/>
        <w:sz w:val="18"/>
        <w:szCs w:val="18"/>
        <w:lang w:eastAsia="zh-CN"/>
      </w:rPr>
      <w:t>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D68E" w14:textId="77777777" w:rsidR="009146E3" w:rsidRDefault="0071766D">
    <w:pPr>
      <w:pStyle w:val="NoSpacing"/>
      <w:ind w:right="-284"/>
      <w:jc w:val="center"/>
      <w:rPr>
        <w:rFonts w:ascii="Cambria" w:hAnsi="Cambria" w:cs="Adobe Devanagari"/>
        <w:b/>
        <w:bCs/>
        <w:iCs/>
        <w:sz w:val="32"/>
        <w:szCs w:val="32"/>
        <w:lang w:val="zh-CN"/>
      </w:rPr>
    </w:pPr>
    <w:r>
      <w:rPr>
        <w:rFonts w:ascii="Cambria" w:hAnsi="Cambria"/>
        <w:noProof/>
      </w:rPr>
      <w:drawing>
        <wp:anchor distT="0" distB="0" distL="114300" distR="114300" simplePos="0" relativeHeight="251664384" behindDoc="0" locked="0" layoutInCell="1" allowOverlap="1" wp14:anchorId="72310004" wp14:editId="5CDA8EDD">
          <wp:simplePos x="0" y="0"/>
          <wp:positionH relativeFrom="column">
            <wp:posOffset>5273040</wp:posOffset>
          </wp:positionH>
          <wp:positionV relativeFrom="paragraph">
            <wp:posOffset>-5080</wp:posOffset>
          </wp:positionV>
          <wp:extent cx="443230" cy="626745"/>
          <wp:effectExtent l="0" t="0" r="0" b="2540"/>
          <wp:wrapNone/>
          <wp:docPr id="11"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443230" cy="626450"/>
                  </a:xfrm>
                  <a:prstGeom prst="rect">
                    <a:avLst/>
                  </a:prstGeom>
                  <a:noFill/>
                  <a:ln>
                    <a:noFill/>
                  </a:ln>
                </pic:spPr>
              </pic:pic>
            </a:graphicData>
          </a:graphic>
        </wp:anchor>
      </w:drawing>
    </w:r>
    <w:r>
      <w:rPr>
        <w:rFonts w:ascii="Cambria" w:hAnsi="Cambria"/>
        <w:noProof/>
      </w:rPr>
      <w:drawing>
        <wp:anchor distT="0" distB="0" distL="114300" distR="114300" simplePos="0" relativeHeight="251660288" behindDoc="0" locked="0" layoutInCell="1" allowOverlap="1" wp14:anchorId="47A7A667" wp14:editId="05A78966">
          <wp:simplePos x="0" y="0"/>
          <wp:positionH relativeFrom="column">
            <wp:posOffset>62865</wp:posOffset>
          </wp:positionH>
          <wp:positionV relativeFrom="paragraph">
            <wp:posOffset>24130</wp:posOffset>
          </wp:positionV>
          <wp:extent cx="428625" cy="579120"/>
          <wp:effectExtent l="0" t="0" r="0" b="0"/>
          <wp:wrapNone/>
          <wp:docPr id="12" name="Picture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28625" cy="579120"/>
                  </a:xfrm>
                  <a:prstGeom prst="rect">
                    <a:avLst/>
                  </a:prstGeom>
                  <a:noFill/>
                  <a:ln>
                    <a:noFill/>
                  </a:ln>
                </pic:spPr>
              </pic:pic>
            </a:graphicData>
          </a:graphic>
        </wp:anchor>
      </w:drawing>
    </w:r>
    <w:r>
      <w:rPr>
        <w:rFonts w:ascii="Cambria" w:hAnsi="Cambria"/>
        <w:noProof/>
      </w:rPr>
      <mc:AlternateContent>
        <mc:Choice Requires="wpg">
          <w:drawing>
            <wp:anchor distT="0" distB="0" distL="114300" distR="114300" simplePos="0" relativeHeight="251661312" behindDoc="0" locked="0" layoutInCell="1" allowOverlap="1" wp14:anchorId="074EC894" wp14:editId="747183EB">
              <wp:simplePos x="0" y="0"/>
              <wp:positionH relativeFrom="column">
                <wp:posOffset>-22225</wp:posOffset>
              </wp:positionH>
              <wp:positionV relativeFrom="paragraph">
                <wp:posOffset>-62230</wp:posOffset>
              </wp:positionV>
              <wp:extent cx="5753100" cy="736600"/>
              <wp:effectExtent l="57150" t="38100" r="76200" b="101600"/>
              <wp:wrapNone/>
              <wp:docPr id="6" name="Group 4"/>
              <wp:cNvGraphicFramePr/>
              <a:graphic xmlns:a="http://schemas.openxmlformats.org/drawingml/2006/main">
                <a:graphicData uri="http://schemas.microsoft.com/office/word/2010/wordprocessingGroup">
                  <wpg:wgp>
                    <wpg:cNvGrpSpPr/>
                    <wpg:grpSpPr>
                      <a:xfrm>
                        <a:off x="0" y="0"/>
                        <a:ext cx="5753100" cy="736600"/>
                        <a:chOff x="0" y="0"/>
                        <a:chExt cx="5753100" cy="736720"/>
                      </a:xfrm>
                      <a:effectLst>
                        <a:outerShdw blurRad="50800" dist="25400" dir="5400000" algn="t" rotWithShape="0">
                          <a:prstClr val="black">
                            <a:alpha val="18000"/>
                          </a:prstClr>
                        </a:outerShdw>
                      </a:effectLst>
                    </wpg:grpSpPr>
                    <wps:wsp>
                      <wps:cNvPr id="7" name="Straight Connector 3"/>
                      <wps:cNvCnPr/>
                      <wps:spPr>
                        <a:xfrm>
                          <a:off x="0" y="0"/>
                          <a:ext cx="5753100" cy="0"/>
                        </a:xfrm>
                        <a:prstGeom prst="line">
                          <a:avLst/>
                        </a:prstGeom>
                        <a:ln w="19050">
                          <a:solidFill>
                            <a:srgbClr val="00B050"/>
                          </a:solidFill>
                        </a:ln>
                      </wps:spPr>
                      <wps:style>
                        <a:lnRef idx="3">
                          <a:schemeClr val="accent1"/>
                        </a:lnRef>
                        <a:fillRef idx="0">
                          <a:schemeClr val="accent1"/>
                        </a:fillRef>
                        <a:effectRef idx="2">
                          <a:schemeClr val="accent1"/>
                        </a:effectRef>
                        <a:fontRef idx="minor">
                          <a:schemeClr val="tx1"/>
                        </a:fontRef>
                      </wps:style>
                      <wps:bodyPr/>
                    </wps:wsp>
                    <wps:wsp>
                      <wps:cNvPr id="10" name="Straight Connector 10"/>
                      <wps:cNvCnPr/>
                      <wps:spPr>
                        <a:xfrm>
                          <a:off x="0" y="736720"/>
                          <a:ext cx="5753100" cy="0"/>
                        </a:xfrm>
                        <a:prstGeom prst="line">
                          <a:avLst/>
                        </a:prstGeom>
                        <a:ln w="19050">
                          <a:solidFill>
                            <a:srgbClr val="00B050"/>
                          </a:solidFill>
                        </a:ln>
                      </wps:spPr>
                      <wps:style>
                        <a:lnRef idx="3">
                          <a:schemeClr val="accent1"/>
                        </a:lnRef>
                        <a:fillRef idx="0">
                          <a:schemeClr val="accent1"/>
                        </a:fillRef>
                        <a:effectRef idx="2">
                          <a:schemeClr val="accent1"/>
                        </a:effectRef>
                        <a:fontRef idx="minor">
                          <a:schemeClr val="tx1"/>
                        </a:fontRef>
                      </wps:style>
                      <wps:bodyPr/>
                    </wps:wsp>
                  </wpg:wgp>
                </a:graphicData>
              </a:graphic>
            </wp:anchor>
          </w:drawing>
        </mc:Choice>
        <mc:Fallback>
          <w:pict>
            <v:group w14:anchorId="1A04771A" id="Group 4" o:spid="_x0000_s1026" style="position:absolute;margin-left:-1.75pt;margin-top:-4.9pt;width:453pt;height:58pt;z-index:251661312" coordsize="57531,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">
              <v:line id="Straight Connector 3" o:spid="_x0000_s1027" style="position:absolute;visibility:visible;mso-wrap-style:square" from="0,0" to="57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" strokecolor="#00b050" strokeweight="1.5pt">
                <v:stroke joinstyle="miter"/>
              </v:line>
              <v:line id="Straight Connector 10" o:spid="_x0000_s1028" style="position:absolute;visibility:visible;mso-wrap-style:square" from="0,7367" to="57531,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" strokecolor="#00b050" strokeweight="1.5pt">
                <v:stroke joinstyle="miter"/>
              </v:line>
            </v:group>
          </w:pict>
        </mc:Fallback>
      </mc:AlternateContent>
    </w:r>
    <w:r>
      <w:rPr>
        <w:rFonts w:ascii="Cambria" w:hAnsi="Cambria" w:cs="Adobe Devanagari"/>
        <w:b/>
        <w:bCs/>
        <w:sz w:val="32"/>
        <w:szCs w:val="32"/>
        <w:lang w:eastAsia="zh-CN"/>
      </w:rPr>
      <w:t xml:space="preserve">At Turots: Jurnal Pendidikan </w:t>
    </w:r>
    <w:r>
      <w:rPr>
        <w:rFonts w:ascii="Cambria" w:hAnsi="Cambria" w:cs="Adobe Devanagari"/>
        <w:b/>
        <w:bCs/>
        <w:sz w:val="32"/>
        <w:szCs w:val="32"/>
        <w:lang w:val="zh-CN" w:eastAsia="zh-CN"/>
      </w:rPr>
      <w:t>Islam</w:t>
    </w:r>
  </w:p>
  <w:p w14:paraId="495A5C64" w14:textId="61A9A672" w:rsidR="00370682" w:rsidRDefault="00370682" w:rsidP="00370682">
    <w:pPr>
      <w:pStyle w:val="NoSpacing"/>
      <w:jc w:val="center"/>
      <w:rPr>
        <w:rFonts w:ascii="Cambria" w:hAnsi="Cambria" w:cs="Arial"/>
        <w:iCs/>
        <w:sz w:val="18"/>
        <w:szCs w:val="18"/>
      </w:rPr>
    </w:pPr>
    <w:r>
      <w:rPr>
        <w:rFonts w:ascii="Cambria" w:hAnsi="Cambria" w:cs="Arial"/>
        <w:iCs/>
        <w:sz w:val="18"/>
        <w:szCs w:val="18"/>
        <w:lang w:val="id-ID"/>
      </w:rPr>
      <w:t>V</w:t>
    </w:r>
    <w:r>
      <w:rPr>
        <w:rFonts w:ascii="Cambria" w:hAnsi="Cambria" w:cs="Arial"/>
        <w:iCs/>
        <w:sz w:val="18"/>
        <w:szCs w:val="18"/>
      </w:rPr>
      <w:t xml:space="preserve">ol. </w:t>
    </w:r>
    <w:r>
      <w:rPr>
        <w:rFonts w:ascii="Cambria" w:hAnsi="Cambria" w:cs="Arial"/>
        <w:iCs/>
        <w:sz w:val="18"/>
        <w:szCs w:val="18"/>
        <w:lang w:val="id-ID"/>
      </w:rPr>
      <w:t>,8 No. 1</w:t>
    </w:r>
    <w:r>
      <w:rPr>
        <w:rFonts w:ascii="Cambria" w:hAnsi="Cambria" w:cs="Arial"/>
        <w:iCs/>
        <w:sz w:val="18"/>
        <w:szCs w:val="18"/>
      </w:rPr>
      <w:t xml:space="preserve">, </w:t>
    </w:r>
    <w:r>
      <w:rPr>
        <w:rFonts w:ascii="Cambria" w:hAnsi="Cambria" w:cs="Arial"/>
        <w:iCs/>
        <w:sz w:val="18"/>
        <w:szCs w:val="18"/>
        <w:lang w:val="id-ID"/>
      </w:rPr>
      <w:t xml:space="preserve">Juni </w:t>
    </w:r>
    <w:r>
      <w:rPr>
        <w:rFonts w:ascii="Cambria" w:hAnsi="Cambria" w:cs="Arial"/>
        <w:iCs/>
        <w:sz w:val="18"/>
        <w:szCs w:val="18"/>
      </w:rPr>
      <w:t>202</w:t>
    </w:r>
    <w:r>
      <w:rPr>
        <w:rFonts w:ascii="Cambria" w:hAnsi="Cambria" w:cs="Arial"/>
        <w:iCs/>
        <w:sz w:val="18"/>
        <w:szCs w:val="18"/>
        <w:lang w:val="id-ID"/>
      </w:rPr>
      <w:t>6</w:t>
    </w:r>
    <w:r>
      <w:rPr>
        <w:rFonts w:ascii="Cambria" w:hAnsi="Cambria" w:cs="Arial"/>
        <w:iCs/>
        <w:sz w:val="18"/>
        <w:szCs w:val="18"/>
      </w:rPr>
      <w:t>,</w:t>
    </w:r>
    <w:r>
      <w:rPr>
        <w:rFonts w:ascii="Cambria" w:hAnsi="Cambria" w:cs="Arial"/>
        <w:iCs/>
        <w:sz w:val="18"/>
        <w:szCs w:val="18"/>
        <w:lang w:val="id-ID"/>
      </w:rPr>
      <w:t xml:space="preserve"> </w:t>
    </w:r>
    <w:r>
      <w:rPr>
        <w:rFonts w:ascii="Cambria" w:hAnsi="Cambria" w:cs="Arial"/>
        <w:iCs/>
        <w:sz w:val="18"/>
        <w:szCs w:val="18"/>
        <w:lang w:val="en-GB"/>
      </w:rPr>
      <w:t xml:space="preserve">pp. </w:t>
    </w:r>
    <w:r>
      <w:rPr>
        <w:rFonts w:ascii="Cambria" w:hAnsi="Cambria" w:cs="Arial"/>
        <w:iCs/>
        <w:sz w:val="18"/>
        <w:szCs w:val="18"/>
      </w:rPr>
      <w:t>75-</w:t>
    </w:r>
    <w:r w:rsidR="00236323">
      <w:rPr>
        <w:rFonts w:ascii="Cambria" w:hAnsi="Cambria" w:cs="Arial"/>
        <w:iCs/>
        <w:sz w:val="18"/>
        <w:szCs w:val="18"/>
      </w:rPr>
      <w:t>8</w:t>
    </w:r>
    <w:r w:rsidR="00691D9B">
      <w:rPr>
        <w:rFonts w:ascii="Cambria" w:hAnsi="Cambria" w:cs="Arial"/>
        <w:iCs/>
        <w:sz w:val="18"/>
        <w:szCs w:val="18"/>
      </w:rPr>
      <w:t>8</w:t>
    </w:r>
  </w:p>
  <w:p w14:paraId="1774DEC3" w14:textId="77777777" w:rsidR="009146E3" w:rsidRDefault="0071766D">
    <w:pPr>
      <w:pStyle w:val="Header"/>
      <w:tabs>
        <w:tab w:val="left" w:pos="2514"/>
        <w:tab w:val="center" w:pos="4371"/>
      </w:tabs>
      <w:ind w:right="45"/>
      <w:rPr>
        <w:rFonts w:ascii="Cambria" w:hAnsi="Cambria" w:cs="Arial"/>
        <w:sz w:val="18"/>
        <w:szCs w:val="18"/>
        <w:lang w:val="en-GB"/>
      </w:rPr>
    </w:pPr>
    <w:r>
      <w:rPr>
        <w:rFonts w:ascii="Cambria" w:hAnsi="Cambria"/>
        <w:sz w:val="18"/>
        <w:szCs w:val="18"/>
      </w:rPr>
      <w:tab/>
    </w:r>
    <w:r>
      <w:rPr>
        <w:rFonts w:ascii="Cambria" w:hAnsi="Cambria"/>
        <w:sz w:val="18"/>
        <w:szCs w:val="18"/>
      </w:rPr>
      <w:tab/>
      <w:t xml:space="preserve">Print ISSN : </w:t>
    </w:r>
    <w:hyperlink r:id="rId5" w:history="1">
      <w:r>
        <w:rPr>
          <w:rStyle w:val="Hyperlink"/>
          <w:rFonts w:ascii="Cambria" w:hAnsi="Cambria"/>
          <w:sz w:val="18"/>
          <w:szCs w:val="18"/>
        </w:rPr>
        <w:t>2656-7555</w:t>
      </w:r>
    </w:hyperlink>
    <w:r>
      <w:rPr>
        <w:rFonts w:ascii="Cambria" w:hAnsi="Cambria"/>
        <w:sz w:val="18"/>
        <w:szCs w:val="18"/>
      </w:rPr>
      <w:t xml:space="preserve"> || Online ISSN : </w:t>
    </w:r>
    <w:hyperlink r:id="rId6" w:history="1">
      <w:r>
        <w:rPr>
          <w:rStyle w:val="Hyperlink"/>
          <w:rFonts w:ascii="Cambria" w:hAnsi="Cambria"/>
          <w:sz w:val="18"/>
          <w:szCs w:val="18"/>
        </w:rPr>
        <w:t>2747-089X</w:t>
      </w:r>
    </w:hyperlink>
  </w:p>
  <w:p w14:paraId="7992AEB6" w14:textId="77777777" w:rsidR="009146E3" w:rsidRDefault="0071766D">
    <w:pPr>
      <w:pStyle w:val="Header"/>
      <w:ind w:right="45"/>
      <w:jc w:val="center"/>
      <w:rPr>
        <w:rStyle w:val="PageNumber"/>
        <w:rFonts w:ascii="Cambria" w:hAnsi="Cambria"/>
        <w:lang w:val="en-GB"/>
      </w:rPr>
    </w:pPr>
    <w:hyperlink r:id="rId7" w:history="1">
      <w:r>
        <w:rPr>
          <w:rStyle w:val="Hyperlink"/>
          <w:rFonts w:ascii="Cambria" w:hAnsi="Cambria"/>
        </w:rPr>
        <w:t xml:space="preserve"> </w:t>
      </w:r>
      <w:r>
        <w:rPr>
          <w:rStyle w:val="Hyperlink"/>
          <w:rFonts w:ascii="Cambria" w:hAnsi="Cambria"/>
          <w:lang w:val="en-GB"/>
        </w:rPr>
        <w:t xml:space="preserve"> http://journal.stitmadani.ac.id/index.php/JPI/index</w:t>
      </w:r>
    </w:hyperlink>
  </w:p>
  <w:p w14:paraId="0B456E16" w14:textId="77777777" w:rsidR="009146E3" w:rsidRDefault="009146E3">
    <w:pPr>
      <w:pStyle w:val="Header"/>
      <w:rPr>
        <w:rFonts w:ascii="Cambria" w:hAnsi="Cambria"/>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B5F95"/>
    <w:multiLevelType w:val="multilevel"/>
    <w:tmpl w:val="0AFB5F95"/>
    <w:lvl w:ilvl="0">
      <w:start w:val="1"/>
      <w:numFmt w:val="decimal"/>
      <w:pStyle w:val="HD-2"/>
      <w:lvlText w:val="%1."/>
      <w:lvlJc w:val="left"/>
      <w:pPr>
        <w:ind w:left="720" w:hanging="360"/>
      </w:pPr>
      <w:rPr>
        <w:rFonts w:cs="Times New Roman"/>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CAB404C"/>
    <w:multiLevelType w:val="multilevel"/>
    <w:tmpl w:val="0CAB404C"/>
    <w:lvl w:ilvl="0">
      <w:start w:val="1"/>
      <w:numFmt w:val="lowerLetter"/>
      <w:pStyle w:val="HD-3"/>
      <w:lvlText w:val="%1."/>
      <w:lvlJc w:val="left"/>
      <w:pPr>
        <w:ind w:left="360" w:hanging="360"/>
      </w:pPr>
      <w:rPr>
        <w:rFonts w:cs="Times New Roman" w:hint="default"/>
      </w:rPr>
    </w:lvl>
    <w:lvl w:ilvl="1">
      <w:start w:val="1"/>
      <w:numFmt w:val="lowerLetter"/>
      <w:lvlText w:val="%2."/>
      <w:lvlJc w:val="left"/>
      <w:pPr>
        <w:ind w:left="1420" w:hanging="360"/>
      </w:pPr>
      <w:rPr>
        <w:rFonts w:cs="Times New Roman"/>
      </w:rPr>
    </w:lvl>
    <w:lvl w:ilvl="2">
      <w:start w:val="1"/>
      <w:numFmt w:val="lowerRoman"/>
      <w:lvlText w:val="%3."/>
      <w:lvlJc w:val="right"/>
      <w:pPr>
        <w:ind w:left="2140" w:hanging="180"/>
      </w:pPr>
      <w:rPr>
        <w:rFonts w:cs="Times New Roman"/>
      </w:rPr>
    </w:lvl>
    <w:lvl w:ilvl="3">
      <w:start w:val="1"/>
      <w:numFmt w:val="decimal"/>
      <w:lvlText w:val="%4."/>
      <w:lvlJc w:val="left"/>
      <w:pPr>
        <w:ind w:left="2860" w:hanging="360"/>
      </w:pPr>
      <w:rPr>
        <w:rFonts w:cs="Times New Roman"/>
      </w:rPr>
    </w:lvl>
    <w:lvl w:ilvl="4">
      <w:start w:val="1"/>
      <w:numFmt w:val="lowerLetter"/>
      <w:lvlText w:val="%5."/>
      <w:lvlJc w:val="left"/>
      <w:pPr>
        <w:ind w:left="3580" w:hanging="360"/>
      </w:pPr>
      <w:rPr>
        <w:rFonts w:cs="Times New Roman"/>
      </w:rPr>
    </w:lvl>
    <w:lvl w:ilvl="5">
      <w:start w:val="1"/>
      <w:numFmt w:val="lowerRoman"/>
      <w:lvlText w:val="%6."/>
      <w:lvlJc w:val="right"/>
      <w:pPr>
        <w:ind w:left="4300" w:hanging="180"/>
      </w:pPr>
      <w:rPr>
        <w:rFonts w:cs="Times New Roman"/>
      </w:rPr>
    </w:lvl>
    <w:lvl w:ilvl="6">
      <w:start w:val="1"/>
      <w:numFmt w:val="decimal"/>
      <w:lvlText w:val="%7."/>
      <w:lvlJc w:val="left"/>
      <w:pPr>
        <w:ind w:left="5020" w:hanging="360"/>
      </w:pPr>
      <w:rPr>
        <w:rFonts w:cs="Times New Roman"/>
      </w:rPr>
    </w:lvl>
    <w:lvl w:ilvl="7">
      <w:start w:val="1"/>
      <w:numFmt w:val="lowerLetter"/>
      <w:lvlText w:val="%8."/>
      <w:lvlJc w:val="left"/>
      <w:pPr>
        <w:ind w:left="5740" w:hanging="360"/>
      </w:pPr>
      <w:rPr>
        <w:rFonts w:cs="Times New Roman"/>
      </w:rPr>
    </w:lvl>
    <w:lvl w:ilvl="8">
      <w:start w:val="1"/>
      <w:numFmt w:val="lowerRoman"/>
      <w:lvlText w:val="%9."/>
      <w:lvlJc w:val="right"/>
      <w:pPr>
        <w:ind w:left="6460" w:hanging="180"/>
      </w:pPr>
      <w:rPr>
        <w:rFonts w:cs="Times New Roman"/>
      </w:rPr>
    </w:lvl>
  </w:abstractNum>
  <w:abstractNum w:abstractNumId="2" w15:restartNumberingAfterBreak="0">
    <w:nsid w:val="0F916FA1"/>
    <w:multiLevelType w:val="hybridMultilevel"/>
    <w:tmpl w:val="A606D7B0"/>
    <w:lvl w:ilvl="0" w:tplc="5A2A5E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A645A6"/>
    <w:multiLevelType w:val="hybridMultilevel"/>
    <w:tmpl w:val="81DC47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342D09"/>
    <w:multiLevelType w:val="hybridMultilevel"/>
    <w:tmpl w:val="DD5227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FE44EB"/>
    <w:multiLevelType w:val="multilevel"/>
    <w:tmpl w:val="A9D02B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452D31"/>
    <w:multiLevelType w:val="hybridMultilevel"/>
    <w:tmpl w:val="DBE434AE"/>
    <w:lvl w:ilvl="0" w:tplc="FC2E34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88E68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36C2F"/>
    <w:multiLevelType w:val="hybridMultilevel"/>
    <w:tmpl w:val="4B78C3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0A1336"/>
    <w:multiLevelType w:val="hybridMultilevel"/>
    <w:tmpl w:val="89FCF860"/>
    <w:lvl w:ilvl="0" w:tplc="9126CC98">
      <w:start w:val="1"/>
      <w:numFmt w:val="decimal"/>
      <w:lvlText w:val="%1."/>
      <w:lvlJc w:val="left"/>
      <w:pPr>
        <w:ind w:left="1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80F70"/>
    <w:multiLevelType w:val="multilevel"/>
    <w:tmpl w:val="BB2650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BF126E"/>
    <w:multiLevelType w:val="hybridMultilevel"/>
    <w:tmpl w:val="B6EC3072"/>
    <w:lvl w:ilvl="0" w:tplc="2E249F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2B763E"/>
    <w:multiLevelType w:val="multilevel"/>
    <w:tmpl w:val="D764D3D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E25C47"/>
    <w:multiLevelType w:val="multilevel"/>
    <w:tmpl w:val="56601B9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98649B"/>
    <w:multiLevelType w:val="hybridMultilevel"/>
    <w:tmpl w:val="C9D0E9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CE4BD6"/>
    <w:multiLevelType w:val="hybridMultilevel"/>
    <w:tmpl w:val="A2729606"/>
    <w:lvl w:ilvl="0" w:tplc="1DC469E2">
      <w:start w:val="1"/>
      <w:numFmt w:val="lowerLetter"/>
      <w:lvlText w:val="%1)"/>
      <w:lvlJc w:val="left"/>
      <w:pPr>
        <w:ind w:left="2670" w:hanging="19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D764E0"/>
    <w:multiLevelType w:val="multilevel"/>
    <w:tmpl w:val="34D764E0"/>
    <w:lvl w:ilvl="0">
      <w:start w:val="1"/>
      <w:numFmt w:val="lowerLetter"/>
      <w:pStyle w:val="HD-5"/>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3AFC20A7"/>
    <w:multiLevelType w:val="hybridMultilevel"/>
    <w:tmpl w:val="DBE434AE"/>
    <w:lvl w:ilvl="0" w:tplc="FC2E34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88E689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1C1CE0"/>
    <w:multiLevelType w:val="hybridMultilevel"/>
    <w:tmpl w:val="DDF0F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77A44"/>
    <w:multiLevelType w:val="hybridMultilevel"/>
    <w:tmpl w:val="B002B6E4"/>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9" w15:restartNumberingAfterBreak="0">
    <w:nsid w:val="4CDD7459"/>
    <w:multiLevelType w:val="hybridMultilevel"/>
    <w:tmpl w:val="B02AB918"/>
    <w:lvl w:ilvl="0" w:tplc="9126CC98">
      <w:start w:val="1"/>
      <w:numFmt w:val="decimal"/>
      <w:lvlText w:val="%1."/>
      <w:lvlJc w:val="left"/>
      <w:pPr>
        <w:ind w:left="10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9A5A80"/>
    <w:multiLevelType w:val="multilevel"/>
    <w:tmpl w:val="3A2C0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3B774C"/>
    <w:multiLevelType w:val="multilevel"/>
    <w:tmpl w:val="DD2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F758F2"/>
    <w:multiLevelType w:val="hybridMultilevel"/>
    <w:tmpl w:val="718C9760"/>
    <w:lvl w:ilvl="0" w:tplc="FFDC638C">
      <w:start w:val="1"/>
      <w:numFmt w:val="decimal"/>
      <w:lvlText w:val="%1."/>
      <w:lvlJc w:val="left"/>
      <w:pPr>
        <w:ind w:left="715" w:hanging="37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59EE564E"/>
    <w:multiLevelType w:val="hybridMultilevel"/>
    <w:tmpl w:val="57608166"/>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4" w15:restartNumberingAfterBreak="0">
    <w:nsid w:val="5A0D5F26"/>
    <w:multiLevelType w:val="multilevel"/>
    <w:tmpl w:val="EC263054"/>
    <w:lvl w:ilvl="0">
      <w:start w:val="1"/>
      <w:numFmt w:val="decimal"/>
      <w:lvlText w:val="%1."/>
      <w:lvlJc w:val="left"/>
      <w:pPr>
        <w:ind w:left="720" w:hanging="360"/>
      </w:pPr>
      <w:rPr>
        <w:rFonts w:hint="default"/>
        <w:vertAlign w:val="baseline"/>
      </w:rPr>
    </w:lvl>
    <w:lvl w:ilvl="1">
      <w:start w:val="2"/>
      <w:numFmt w:val="decimal"/>
      <w:isLgl/>
      <w:lvlText w:val="%1.%2"/>
      <w:lvlJc w:val="left"/>
      <w:pPr>
        <w:ind w:left="975" w:hanging="61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E20331C"/>
    <w:multiLevelType w:val="hybridMultilevel"/>
    <w:tmpl w:val="D0C47C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395A2B"/>
    <w:multiLevelType w:val="hybridMultilevel"/>
    <w:tmpl w:val="B83C7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593419"/>
    <w:multiLevelType w:val="hybridMultilevel"/>
    <w:tmpl w:val="1BF01580"/>
    <w:lvl w:ilvl="0" w:tplc="3508F64A">
      <w:start w:val="1"/>
      <w:numFmt w:val="lowerLetter"/>
      <w:lvlText w:val="%1)"/>
      <w:lvlJc w:val="left"/>
      <w:pPr>
        <w:ind w:left="2010" w:hanging="12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4936DE"/>
    <w:multiLevelType w:val="hybridMultilevel"/>
    <w:tmpl w:val="DE3411C4"/>
    <w:lvl w:ilvl="0" w:tplc="FC2E342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63CA12CB"/>
    <w:multiLevelType w:val="multilevel"/>
    <w:tmpl w:val="63CA12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A71A1B"/>
    <w:multiLevelType w:val="multilevel"/>
    <w:tmpl w:val="6FA71A1B"/>
    <w:lvl w:ilvl="0">
      <w:start w:val="1"/>
      <w:numFmt w:val="decimal"/>
      <w:pStyle w:val="HD-4"/>
      <w:lvlText w:val="%1)"/>
      <w:lvlJc w:val="left"/>
      <w:pPr>
        <w:ind w:left="36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1" w15:restartNumberingAfterBreak="0">
    <w:nsid w:val="73F67092"/>
    <w:multiLevelType w:val="hybridMultilevel"/>
    <w:tmpl w:val="942E4E62"/>
    <w:lvl w:ilvl="0" w:tplc="9126CC98">
      <w:start w:val="1"/>
      <w:numFmt w:val="decimal"/>
      <w:lvlText w:val="%1."/>
      <w:lvlJc w:val="left"/>
      <w:pPr>
        <w:ind w:left="1060" w:hanging="72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2" w15:restartNumberingAfterBreak="0">
    <w:nsid w:val="74995FB7"/>
    <w:multiLevelType w:val="hybridMultilevel"/>
    <w:tmpl w:val="578C244C"/>
    <w:lvl w:ilvl="0" w:tplc="9126CC98">
      <w:start w:val="1"/>
      <w:numFmt w:val="decimal"/>
      <w:lvlText w:val="%1."/>
      <w:lvlJc w:val="left"/>
      <w:pPr>
        <w:ind w:left="140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3" w15:restartNumberingAfterBreak="0">
    <w:nsid w:val="7A653503"/>
    <w:multiLevelType w:val="multilevel"/>
    <w:tmpl w:val="C8E45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BE3200"/>
    <w:multiLevelType w:val="multilevel"/>
    <w:tmpl w:val="7DBE3200"/>
    <w:lvl w:ilvl="0">
      <w:start w:val="1"/>
      <w:numFmt w:val="decimal"/>
      <w:pStyle w:val="HD-6"/>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5" w15:restartNumberingAfterBreak="0">
    <w:nsid w:val="7F0E09C8"/>
    <w:multiLevelType w:val="hybridMultilevel"/>
    <w:tmpl w:val="F6524FBC"/>
    <w:lvl w:ilvl="0" w:tplc="98CC4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84456489">
    <w:abstractNumId w:val="0"/>
  </w:num>
  <w:num w:numId="2" w16cid:durableId="1219828951">
    <w:abstractNumId w:val="1"/>
  </w:num>
  <w:num w:numId="3" w16cid:durableId="319887224">
    <w:abstractNumId w:val="30"/>
  </w:num>
  <w:num w:numId="4" w16cid:durableId="129444332">
    <w:abstractNumId w:val="15"/>
  </w:num>
  <w:num w:numId="5" w16cid:durableId="1095784823">
    <w:abstractNumId w:val="34"/>
  </w:num>
  <w:num w:numId="6" w16cid:durableId="1267228036">
    <w:abstractNumId w:val="29"/>
  </w:num>
  <w:num w:numId="7" w16cid:durableId="100495772">
    <w:abstractNumId w:val="23"/>
  </w:num>
  <w:num w:numId="8" w16cid:durableId="308217170">
    <w:abstractNumId w:val="26"/>
  </w:num>
  <w:num w:numId="9" w16cid:durableId="1143085560">
    <w:abstractNumId w:val="18"/>
  </w:num>
  <w:num w:numId="10" w16cid:durableId="71900023">
    <w:abstractNumId w:val="31"/>
  </w:num>
  <w:num w:numId="11" w16cid:durableId="1382750727">
    <w:abstractNumId w:val="19"/>
  </w:num>
  <w:num w:numId="12" w16cid:durableId="330791870">
    <w:abstractNumId w:val="32"/>
  </w:num>
  <w:num w:numId="13" w16cid:durableId="1931236915">
    <w:abstractNumId w:val="8"/>
  </w:num>
  <w:num w:numId="14" w16cid:durableId="1711417090">
    <w:abstractNumId w:val="22"/>
  </w:num>
  <w:num w:numId="15" w16cid:durableId="2119519032">
    <w:abstractNumId w:val="17"/>
  </w:num>
  <w:num w:numId="16" w16cid:durableId="2075812070">
    <w:abstractNumId w:val="24"/>
  </w:num>
  <w:num w:numId="17" w16cid:durableId="2069381709">
    <w:abstractNumId w:val="12"/>
  </w:num>
  <w:num w:numId="18" w16cid:durableId="1781340610">
    <w:abstractNumId w:val="20"/>
  </w:num>
  <w:num w:numId="19" w16cid:durableId="530454112">
    <w:abstractNumId w:val="21"/>
  </w:num>
  <w:num w:numId="20" w16cid:durableId="350953805">
    <w:abstractNumId w:val="33"/>
  </w:num>
  <w:num w:numId="21" w16cid:durableId="1525902436">
    <w:abstractNumId w:val="28"/>
  </w:num>
  <w:num w:numId="22" w16cid:durableId="608901957">
    <w:abstractNumId w:val="16"/>
  </w:num>
  <w:num w:numId="23" w16cid:durableId="1490363639">
    <w:abstractNumId w:val="6"/>
  </w:num>
  <w:num w:numId="24" w16cid:durableId="808280450">
    <w:abstractNumId w:val="9"/>
  </w:num>
  <w:num w:numId="25" w16cid:durableId="1826895160">
    <w:abstractNumId w:val="5"/>
  </w:num>
  <w:num w:numId="26" w16cid:durableId="291907869">
    <w:abstractNumId w:val="11"/>
  </w:num>
  <w:num w:numId="27" w16cid:durableId="77093129">
    <w:abstractNumId w:val="7"/>
  </w:num>
  <w:num w:numId="28" w16cid:durableId="1480725869">
    <w:abstractNumId w:val="27"/>
  </w:num>
  <w:num w:numId="29" w16cid:durableId="1120220039">
    <w:abstractNumId w:val="4"/>
  </w:num>
  <w:num w:numId="30" w16cid:durableId="1984384548">
    <w:abstractNumId w:val="14"/>
  </w:num>
  <w:num w:numId="31" w16cid:durableId="732312447">
    <w:abstractNumId w:val="3"/>
  </w:num>
  <w:num w:numId="32" w16cid:durableId="1222861948">
    <w:abstractNumId w:val="35"/>
  </w:num>
  <w:num w:numId="33" w16cid:durableId="1353802510">
    <w:abstractNumId w:val="25"/>
  </w:num>
  <w:num w:numId="34" w16cid:durableId="1813987401">
    <w:abstractNumId w:val="2"/>
  </w:num>
  <w:num w:numId="35" w16cid:durableId="1159806647">
    <w:abstractNumId w:val="13"/>
  </w:num>
  <w:num w:numId="36" w16cid:durableId="422148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081"/>
    <w:rsid w:val="00004424"/>
    <w:rsid w:val="00011FA9"/>
    <w:rsid w:val="0002243C"/>
    <w:rsid w:val="00023F8A"/>
    <w:rsid w:val="00041A8B"/>
    <w:rsid w:val="00047F80"/>
    <w:rsid w:val="00052BC2"/>
    <w:rsid w:val="000868F9"/>
    <w:rsid w:val="00090AE2"/>
    <w:rsid w:val="000A5AC9"/>
    <w:rsid w:val="000B5BB3"/>
    <w:rsid w:val="000B6DB4"/>
    <w:rsid w:val="000C0FB6"/>
    <w:rsid w:val="000E0984"/>
    <w:rsid w:val="000E3819"/>
    <w:rsid w:val="000F62CC"/>
    <w:rsid w:val="00111EAF"/>
    <w:rsid w:val="001177D1"/>
    <w:rsid w:val="00125A07"/>
    <w:rsid w:val="00144596"/>
    <w:rsid w:val="00145650"/>
    <w:rsid w:val="00155009"/>
    <w:rsid w:val="001615F5"/>
    <w:rsid w:val="001814A7"/>
    <w:rsid w:val="00187C73"/>
    <w:rsid w:val="00195967"/>
    <w:rsid w:val="001968DC"/>
    <w:rsid w:val="001B7721"/>
    <w:rsid w:val="001C41FC"/>
    <w:rsid w:val="001E1F89"/>
    <w:rsid w:val="001F2516"/>
    <w:rsid w:val="00200283"/>
    <w:rsid w:val="00201A64"/>
    <w:rsid w:val="00203470"/>
    <w:rsid w:val="00214CCF"/>
    <w:rsid w:val="002346AE"/>
    <w:rsid w:val="00234A52"/>
    <w:rsid w:val="00236323"/>
    <w:rsid w:val="002541DB"/>
    <w:rsid w:val="0026294F"/>
    <w:rsid w:val="00272BF0"/>
    <w:rsid w:val="002901FF"/>
    <w:rsid w:val="002A2E03"/>
    <w:rsid w:val="002A6BC7"/>
    <w:rsid w:val="002B1A11"/>
    <w:rsid w:val="002B48BB"/>
    <w:rsid w:val="002B5BFA"/>
    <w:rsid w:val="002C1F30"/>
    <w:rsid w:val="002C7111"/>
    <w:rsid w:val="002D6885"/>
    <w:rsid w:val="002D7629"/>
    <w:rsid w:val="00302C3C"/>
    <w:rsid w:val="003074A9"/>
    <w:rsid w:val="00320EF0"/>
    <w:rsid w:val="00330DA1"/>
    <w:rsid w:val="00333C43"/>
    <w:rsid w:val="00353ACE"/>
    <w:rsid w:val="00355FBB"/>
    <w:rsid w:val="00356CEC"/>
    <w:rsid w:val="003626AA"/>
    <w:rsid w:val="00370682"/>
    <w:rsid w:val="00372948"/>
    <w:rsid w:val="003B44DA"/>
    <w:rsid w:val="003B4B13"/>
    <w:rsid w:val="003C132C"/>
    <w:rsid w:val="003C4C9D"/>
    <w:rsid w:val="003C767F"/>
    <w:rsid w:val="003C7E08"/>
    <w:rsid w:val="003D1FEA"/>
    <w:rsid w:val="003D2924"/>
    <w:rsid w:val="003D656E"/>
    <w:rsid w:val="003E4601"/>
    <w:rsid w:val="003E5E5F"/>
    <w:rsid w:val="003F0667"/>
    <w:rsid w:val="003F4AC3"/>
    <w:rsid w:val="00400F77"/>
    <w:rsid w:val="004056C4"/>
    <w:rsid w:val="00410A62"/>
    <w:rsid w:val="00416265"/>
    <w:rsid w:val="004259A0"/>
    <w:rsid w:val="004270C7"/>
    <w:rsid w:val="004438AE"/>
    <w:rsid w:val="0044489F"/>
    <w:rsid w:val="00454197"/>
    <w:rsid w:val="00455D0C"/>
    <w:rsid w:val="00473D95"/>
    <w:rsid w:val="00475F57"/>
    <w:rsid w:val="00476172"/>
    <w:rsid w:val="00486382"/>
    <w:rsid w:val="004A5D79"/>
    <w:rsid w:val="004C44B8"/>
    <w:rsid w:val="004D2881"/>
    <w:rsid w:val="004D5174"/>
    <w:rsid w:val="00500C50"/>
    <w:rsid w:val="005025DF"/>
    <w:rsid w:val="00511526"/>
    <w:rsid w:val="005145A8"/>
    <w:rsid w:val="00522EA8"/>
    <w:rsid w:val="00526719"/>
    <w:rsid w:val="0054083B"/>
    <w:rsid w:val="00550B40"/>
    <w:rsid w:val="005540F0"/>
    <w:rsid w:val="00554D5C"/>
    <w:rsid w:val="00554DBC"/>
    <w:rsid w:val="00562634"/>
    <w:rsid w:val="0056391D"/>
    <w:rsid w:val="00567E37"/>
    <w:rsid w:val="005A0409"/>
    <w:rsid w:val="005A2316"/>
    <w:rsid w:val="005A3EFF"/>
    <w:rsid w:val="005C7100"/>
    <w:rsid w:val="005D02BA"/>
    <w:rsid w:val="005D4B3B"/>
    <w:rsid w:val="005E2F2A"/>
    <w:rsid w:val="00611729"/>
    <w:rsid w:val="00624D4B"/>
    <w:rsid w:val="00625128"/>
    <w:rsid w:val="0062644F"/>
    <w:rsid w:val="006375CE"/>
    <w:rsid w:val="00637E99"/>
    <w:rsid w:val="0064122A"/>
    <w:rsid w:val="00647262"/>
    <w:rsid w:val="00651510"/>
    <w:rsid w:val="00663950"/>
    <w:rsid w:val="00666F84"/>
    <w:rsid w:val="00670150"/>
    <w:rsid w:val="00671746"/>
    <w:rsid w:val="00675794"/>
    <w:rsid w:val="00683027"/>
    <w:rsid w:val="00691D9B"/>
    <w:rsid w:val="006A309B"/>
    <w:rsid w:val="006D32AB"/>
    <w:rsid w:val="006D746D"/>
    <w:rsid w:val="006E4F61"/>
    <w:rsid w:val="006F09C1"/>
    <w:rsid w:val="0071385F"/>
    <w:rsid w:val="0071766D"/>
    <w:rsid w:val="00727682"/>
    <w:rsid w:val="00731C5B"/>
    <w:rsid w:val="0075487B"/>
    <w:rsid w:val="007572D0"/>
    <w:rsid w:val="00771175"/>
    <w:rsid w:val="00786AAC"/>
    <w:rsid w:val="00790BFA"/>
    <w:rsid w:val="007947DC"/>
    <w:rsid w:val="007C29F0"/>
    <w:rsid w:val="007C5081"/>
    <w:rsid w:val="007E3566"/>
    <w:rsid w:val="00800241"/>
    <w:rsid w:val="0080587D"/>
    <w:rsid w:val="008314B2"/>
    <w:rsid w:val="00832933"/>
    <w:rsid w:val="00836282"/>
    <w:rsid w:val="008468D3"/>
    <w:rsid w:val="00854D6A"/>
    <w:rsid w:val="008725D5"/>
    <w:rsid w:val="0087316D"/>
    <w:rsid w:val="00885F4D"/>
    <w:rsid w:val="00895BE6"/>
    <w:rsid w:val="008B0065"/>
    <w:rsid w:val="008C29D7"/>
    <w:rsid w:val="008C6C2E"/>
    <w:rsid w:val="008D4F58"/>
    <w:rsid w:val="008E6894"/>
    <w:rsid w:val="008F0AC4"/>
    <w:rsid w:val="009146E3"/>
    <w:rsid w:val="00943402"/>
    <w:rsid w:val="0095101E"/>
    <w:rsid w:val="00974D94"/>
    <w:rsid w:val="00977EC7"/>
    <w:rsid w:val="00986ADE"/>
    <w:rsid w:val="00993EFA"/>
    <w:rsid w:val="009B0AD2"/>
    <w:rsid w:val="009B1EF0"/>
    <w:rsid w:val="009B2AE0"/>
    <w:rsid w:val="009D585B"/>
    <w:rsid w:val="009E0AB4"/>
    <w:rsid w:val="009E0C61"/>
    <w:rsid w:val="009F00CB"/>
    <w:rsid w:val="009F5DF2"/>
    <w:rsid w:val="00A04826"/>
    <w:rsid w:val="00A21B81"/>
    <w:rsid w:val="00A25183"/>
    <w:rsid w:val="00A26D10"/>
    <w:rsid w:val="00A531E0"/>
    <w:rsid w:val="00A73B9A"/>
    <w:rsid w:val="00A77718"/>
    <w:rsid w:val="00A94926"/>
    <w:rsid w:val="00A96B16"/>
    <w:rsid w:val="00AA5B07"/>
    <w:rsid w:val="00AB6869"/>
    <w:rsid w:val="00AC3885"/>
    <w:rsid w:val="00AC643A"/>
    <w:rsid w:val="00AE2D48"/>
    <w:rsid w:val="00AE77FD"/>
    <w:rsid w:val="00AF17F2"/>
    <w:rsid w:val="00B027C0"/>
    <w:rsid w:val="00B1748D"/>
    <w:rsid w:val="00B2768D"/>
    <w:rsid w:val="00B316B4"/>
    <w:rsid w:val="00B377AB"/>
    <w:rsid w:val="00B42D9F"/>
    <w:rsid w:val="00B44714"/>
    <w:rsid w:val="00B53A29"/>
    <w:rsid w:val="00B74D93"/>
    <w:rsid w:val="00B91EF5"/>
    <w:rsid w:val="00BA361A"/>
    <w:rsid w:val="00BB12E9"/>
    <w:rsid w:val="00BC2463"/>
    <w:rsid w:val="00BD1494"/>
    <w:rsid w:val="00BD6407"/>
    <w:rsid w:val="00BE0E50"/>
    <w:rsid w:val="00BE2669"/>
    <w:rsid w:val="00BF353B"/>
    <w:rsid w:val="00C30542"/>
    <w:rsid w:val="00C41A9D"/>
    <w:rsid w:val="00C72435"/>
    <w:rsid w:val="00C87EC8"/>
    <w:rsid w:val="00C94994"/>
    <w:rsid w:val="00CA735E"/>
    <w:rsid w:val="00CB35EE"/>
    <w:rsid w:val="00CB4DE8"/>
    <w:rsid w:val="00CD1ED2"/>
    <w:rsid w:val="00CE58FA"/>
    <w:rsid w:val="00D24E5E"/>
    <w:rsid w:val="00D47F33"/>
    <w:rsid w:val="00D54FD8"/>
    <w:rsid w:val="00D6512F"/>
    <w:rsid w:val="00DA3540"/>
    <w:rsid w:val="00DB49FB"/>
    <w:rsid w:val="00DB7484"/>
    <w:rsid w:val="00DE4C4A"/>
    <w:rsid w:val="00DE4FD5"/>
    <w:rsid w:val="00E20930"/>
    <w:rsid w:val="00E21250"/>
    <w:rsid w:val="00E41A1E"/>
    <w:rsid w:val="00E43115"/>
    <w:rsid w:val="00E6017D"/>
    <w:rsid w:val="00E70674"/>
    <w:rsid w:val="00E8150B"/>
    <w:rsid w:val="00E84BF8"/>
    <w:rsid w:val="00EA2E30"/>
    <w:rsid w:val="00EA4E41"/>
    <w:rsid w:val="00EA64EC"/>
    <w:rsid w:val="00EF39A1"/>
    <w:rsid w:val="00EF4C28"/>
    <w:rsid w:val="00EF4FF1"/>
    <w:rsid w:val="00F10C06"/>
    <w:rsid w:val="00F1492E"/>
    <w:rsid w:val="00F16A1C"/>
    <w:rsid w:val="00F406E8"/>
    <w:rsid w:val="00F5275A"/>
    <w:rsid w:val="00F620E2"/>
    <w:rsid w:val="00F715BE"/>
    <w:rsid w:val="00F81986"/>
    <w:rsid w:val="00F82EE5"/>
    <w:rsid w:val="00F925C7"/>
    <w:rsid w:val="00F9300C"/>
    <w:rsid w:val="00FA1FB5"/>
    <w:rsid w:val="00FB0835"/>
    <w:rsid w:val="00FB15D3"/>
    <w:rsid w:val="00FB71EB"/>
    <w:rsid w:val="00FC3EF5"/>
    <w:rsid w:val="00FF1B12"/>
    <w:rsid w:val="00FF7763"/>
    <w:rsid w:val="02EE7B8E"/>
    <w:rsid w:val="0C6B730C"/>
    <w:rsid w:val="0CBE343C"/>
    <w:rsid w:val="0DF03C03"/>
    <w:rsid w:val="102D2316"/>
    <w:rsid w:val="12C63C8F"/>
    <w:rsid w:val="168A1BEF"/>
    <w:rsid w:val="187A66B9"/>
    <w:rsid w:val="227C0CF8"/>
    <w:rsid w:val="23517799"/>
    <w:rsid w:val="238234B1"/>
    <w:rsid w:val="239A36FF"/>
    <w:rsid w:val="2B826F72"/>
    <w:rsid w:val="2C3C2722"/>
    <w:rsid w:val="3279706A"/>
    <w:rsid w:val="36F56D88"/>
    <w:rsid w:val="3B99219E"/>
    <w:rsid w:val="3CCA10F2"/>
    <w:rsid w:val="3EE32B3C"/>
    <w:rsid w:val="3F9625DF"/>
    <w:rsid w:val="403222BE"/>
    <w:rsid w:val="46FA6592"/>
    <w:rsid w:val="49795164"/>
    <w:rsid w:val="4A8D3A3C"/>
    <w:rsid w:val="54F07553"/>
    <w:rsid w:val="589C6C4B"/>
    <w:rsid w:val="5D846B5D"/>
    <w:rsid w:val="62A328E3"/>
    <w:rsid w:val="63D075A1"/>
    <w:rsid w:val="64156685"/>
    <w:rsid w:val="681655F6"/>
    <w:rsid w:val="6B4953AC"/>
    <w:rsid w:val="6FA04797"/>
    <w:rsid w:val="74EA1F2D"/>
    <w:rsid w:val="780862D9"/>
    <w:rsid w:val="7F87350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843B92"/>
  <w15:docId w15:val="{78FA9AB0-6B62-D546-866F-5C606E18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ajorHAnsi" w:eastAsia="Times New Roman" w:hAnsiTheme="majorHAnsi" w:cs="Times New Roman"/>
      <w:lang w:val="en-US" w:eastAsia="en-US"/>
    </w:rPr>
  </w:style>
  <w:style w:type="paragraph" w:styleId="Heading1">
    <w:name w:val="heading 1"/>
    <w:basedOn w:val="Normal"/>
    <w:next w:val="Normal"/>
    <w:link w:val="Heading1Char"/>
    <w:uiPriority w:val="9"/>
    <w:qFormat/>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200"/>
      <w:outlineLvl w:val="1"/>
    </w:pPr>
    <w:rPr>
      <w:rFonts w:eastAsiaTheme="majorEastAsia"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7947DC"/>
    <w:pPr>
      <w:keepNext/>
      <w:keepLines/>
      <w:spacing w:before="4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91EF5"/>
    <w:pPr>
      <w:keepNext/>
      <w:keepLines/>
      <w:spacing w:before="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Caption">
    <w:name w:val="caption"/>
    <w:basedOn w:val="Normal"/>
    <w:next w:val="Normal"/>
    <w:uiPriority w:val="35"/>
    <w:semiHidden/>
    <w:unhideWhenUsed/>
    <w:qFormat/>
    <w:pPr>
      <w:spacing w:after="200"/>
    </w:pPr>
    <w:rPr>
      <w:b/>
      <w:bCs/>
      <w:color w:val="4472C4"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rFonts w:asciiTheme="minorHAnsi" w:eastAsiaTheme="minorHAnsi" w:hAnsiTheme="minorHAnsi" w:cstheme="minorBidi"/>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qFormat/>
    <w:rPr>
      <w:rFonts w:cs="Times New Roman"/>
      <w:color w:val="8496B0" w:themeColor="text2" w:themeTint="99"/>
      <w:u w:val="none"/>
    </w:rPr>
  </w:style>
  <w:style w:type="character" w:styleId="PageNumber">
    <w:name w:val="page number"/>
    <w:basedOn w:val="DefaultParagraphFont"/>
    <w:uiPriority w:val="99"/>
    <w:qFormat/>
    <w:rPr>
      <w:rFonts w:ascii="Adobe Devanagari" w:hAnsi="Adobe Devanagari" w:cs="Times New Roman"/>
    </w:rPr>
  </w:style>
  <w:style w:type="character" w:styleId="Strong">
    <w:name w:val="Strong"/>
    <w:basedOn w:val="DefaultParagraphFont"/>
    <w:uiPriority w:val="22"/>
    <w:qFormat/>
    <w:rPr>
      <w:b/>
      <w:bCs/>
    </w:rPr>
  </w:style>
  <w:style w:type="paragraph" w:styleId="Subtitle">
    <w:name w:val="Subtitle"/>
    <w:basedOn w:val="Normal"/>
    <w:link w:val="SubtitleChar"/>
    <w:uiPriority w:val="2"/>
    <w:qFormat/>
    <w:pPr>
      <w:framePr w:hSpace="180" w:wrap="around" w:vAnchor="text" w:hAnchor="margin" w:y="1167"/>
      <w:spacing w:line="276" w:lineRule="auto"/>
    </w:pPr>
    <w:rPr>
      <w:rFonts w:eastAsiaTheme="minorEastAsia"/>
      <w:caps/>
      <w:color w:val="44546A" w:themeColor="text2"/>
      <w:spacing w:val="20"/>
      <w:sz w:val="32"/>
      <w:lang w:val="id-ID"/>
    </w:rPr>
  </w:style>
  <w:style w:type="table" w:styleId="TableGrid">
    <w:name w:val="Table Grid"/>
    <w:basedOn w:val="TableNormal"/>
    <w:uiPriority w:val="39"/>
    <w:qFormat/>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contextualSpacing/>
    </w:pPr>
    <w:rPr>
      <w:rFonts w:eastAsiaTheme="majorEastAsia"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color w:val="4472C4" w:themeColor="accent1"/>
      <w:sz w:val="26"/>
      <w:szCs w:val="2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2"/>
    <w:qFormat/>
    <w:rPr>
      <w:rFonts w:eastAsiaTheme="minorEastAsia"/>
      <w:caps/>
      <w:color w:val="44546A" w:themeColor="text2"/>
      <w:spacing w:val="20"/>
      <w:sz w:val="32"/>
      <w:lang w:val="id-ID"/>
    </w:rPr>
  </w:style>
  <w:style w:type="paragraph" w:styleId="NoSpacing">
    <w:name w:val="No Spacing"/>
    <w:uiPriority w:val="1"/>
    <w:qFormat/>
    <w:rPr>
      <w:sz w:val="22"/>
      <w:szCs w:val="22"/>
      <w:lang w:val="en-US"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sz w:val="22"/>
      <w:lang w:eastAsia="ko-KR"/>
    </w:rPr>
  </w:style>
  <w:style w:type="paragraph" w:customStyle="1" w:styleId="figurecaption">
    <w:name w:val="figure caption"/>
    <w:qFormat/>
    <w:pPr>
      <w:spacing w:before="80" w:after="200"/>
      <w:jc w:val="center"/>
    </w:pPr>
    <w:rPr>
      <w:rFonts w:asciiTheme="majorHAnsi" w:eastAsia="SimSun" w:hAnsiTheme="majorHAnsi" w:cs="Cambria"/>
      <w:sz w:val="22"/>
      <w:lang w:val="en-US" w:eastAsia="en-US"/>
    </w:rPr>
  </w:style>
  <w:style w:type="paragraph" w:customStyle="1" w:styleId="tablecolsubhead">
    <w:name w:val="table col subhead"/>
    <w:basedOn w:val="Normal"/>
    <w:qFormat/>
    <w:pPr>
      <w:jc w:val="center"/>
    </w:pPr>
    <w:rPr>
      <w:rFonts w:eastAsia="SimSun"/>
      <w:b/>
      <w:i/>
    </w:rPr>
  </w:style>
  <w:style w:type="paragraph" w:customStyle="1" w:styleId="tablecopy">
    <w:name w:val="table copy"/>
    <w:qFormat/>
    <w:pPr>
      <w:jc w:val="center"/>
    </w:pPr>
    <w:rPr>
      <w:rFonts w:asciiTheme="majorHAnsi" w:eastAsia="SimSun" w:hAnsiTheme="majorHAnsi" w:cs="Times New Roman"/>
      <w:lang w:val="en-US" w:eastAsia="en-US"/>
    </w:rPr>
  </w:style>
  <w:style w:type="paragraph" w:customStyle="1" w:styleId="References">
    <w:name w:val="References"/>
    <w:basedOn w:val="Normal"/>
    <w:qFormat/>
    <w:pPr>
      <w:spacing w:before="40" w:after="80"/>
      <w:ind w:left="142" w:hanging="142"/>
      <w:jc w:val="both"/>
    </w:pPr>
  </w:style>
  <w:style w:type="paragraph" w:customStyle="1" w:styleId="HD-2">
    <w:name w:val="HD-2"/>
    <w:basedOn w:val="Normal"/>
    <w:qFormat/>
    <w:pPr>
      <w:keepNext/>
      <w:numPr>
        <w:numId w:val="1"/>
      </w:numPr>
      <w:spacing w:before="120" w:line="360" w:lineRule="auto"/>
      <w:ind w:left="360"/>
      <w:outlineLvl w:val="0"/>
    </w:pPr>
    <w:rPr>
      <w:b/>
      <w:bCs/>
      <w:color w:val="000000" w:themeColor="text1"/>
      <w:sz w:val="24"/>
      <w:szCs w:val="22"/>
      <w:lang w:val="id-ID"/>
    </w:rPr>
  </w:style>
  <w:style w:type="paragraph" w:customStyle="1" w:styleId="GambarTabel">
    <w:name w:val="Gambar Tabel"/>
    <w:basedOn w:val="Caption"/>
    <w:qFormat/>
    <w:pPr>
      <w:spacing w:after="0"/>
      <w:jc w:val="center"/>
    </w:pPr>
    <w:rPr>
      <w:b w:val="0"/>
      <w:bCs w:val="0"/>
      <w:iCs/>
      <w:color w:val="auto"/>
      <w:sz w:val="22"/>
      <w:szCs w:val="22"/>
      <w:lang w:val="id-ID"/>
    </w:rPr>
  </w:style>
  <w:style w:type="paragraph" w:customStyle="1" w:styleId="Gambar">
    <w:name w:val="Gambar"/>
    <w:basedOn w:val="Caption"/>
    <w:qFormat/>
    <w:pPr>
      <w:spacing w:after="0"/>
      <w:jc w:val="center"/>
    </w:pPr>
    <w:rPr>
      <w:b w:val="0"/>
      <w:bCs w:val="0"/>
      <w:iCs/>
      <w:color w:val="auto"/>
      <w:sz w:val="22"/>
      <w:szCs w:val="20"/>
      <w:lang w:val="en-AU"/>
    </w:rPr>
  </w:style>
  <w:style w:type="paragraph" w:customStyle="1" w:styleId="Titleabstrac">
    <w:name w:val="Title abstrac"/>
    <w:basedOn w:val="Normal"/>
    <w:qFormat/>
    <w:pPr>
      <w:spacing w:before="120" w:line="216" w:lineRule="auto"/>
    </w:pPr>
    <w:rPr>
      <w:rFonts w:ascii="Palatino Linotype" w:hAnsi="Palatino Linotype"/>
      <w:b/>
      <w:bCs/>
      <w:iCs/>
      <w:color w:val="00B050"/>
      <w:sz w:val="32"/>
    </w:rPr>
  </w:style>
  <w:style w:type="paragraph" w:customStyle="1" w:styleId="Author">
    <w:name w:val="Author"/>
    <w:basedOn w:val="Normal"/>
    <w:qFormat/>
    <w:pPr>
      <w:spacing w:after="80"/>
    </w:pPr>
    <w:rPr>
      <w:rFonts w:ascii="Adobe Song Std L" w:eastAsia="Adobe Song Std L" w:hAnsi="Times New Roman"/>
      <w:b/>
      <w:bCs/>
      <w:sz w:val="22"/>
      <w:szCs w:val="18"/>
      <w:vertAlign w:val="superscript"/>
    </w:rPr>
  </w:style>
  <w:style w:type="paragraph" w:customStyle="1" w:styleId="affiliation">
    <w:name w:val="affiliation"/>
    <w:basedOn w:val="Normal"/>
    <w:qFormat/>
    <w:pPr>
      <w:jc w:val="center"/>
    </w:pPr>
    <w:rPr>
      <w:rFonts w:ascii="Adobe Arabic" w:hAnsi="Adobe Arabic"/>
      <w:bCs/>
      <w:lang w:val="id-ID"/>
    </w:rPr>
  </w:style>
  <w:style w:type="paragraph" w:customStyle="1" w:styleId="HD-1">
    <w:name w:val="HD-1"/>
    <w:basedOn w:val="Heading1"/>
    <w:qFormat/>
    <w:pPr>
      <w:keepLines w:val="0"/>
      <w:spacing w:line="360" w:lineRule="auto"/>
    </w:pPr>
    <w:rPr>
      <w:rFonts w:eastAsia="Times New Roman" w:cs="Times New Roman"/>
      <w:b/>
      <w:bCs/>
      <w:color w:val="00B050"/>
      <w:sz w:val="24"/>
      <w:szCs w:val="20"/>
    </w:rPr>
  </w:style>
  <w:style w:type="paragraph" w:customStyle="1" w:styleId="Copyright">
    <w:name w:val="Copyright"/>
    <w:basedOn w:val="Normal"/>
    <w:qFormat/>
    <w:pPr>
      <w:framePr w:hSpace="187" w:wrap="around" w:vAnchor="text" w:hAnchor="text" w:y="1"/>
      <w:spacing w:line="200" w:lineRule="exact"/>
      <w:jc w:val="right"/>
    </w:pPr>
    <w:rPr>
      <w:sz w:val="17"/>
      <w:szCs w:val="14"/>
      <w:lang w:val="en"/>
    </w:rPr>
  </w:style>
  <w:style w:type="paragraph" w:customStyle="1" w:styleId="AbstractHead">
    <w:name w:val="AbstractHead"/>
    <w:rPr>
      <w:rFonts w:ascii="Times New Roman" w:eastAsia="Times New Roman" w:hAnsi="Times New Roman" w:cs="Times New Roman"/>
      <w:smallCaps/>
      <w:spacing w:val="24"/>
      <w:lang w:val="en-US" w:eastAsia="en-US"/>
    </w:rPr>
  </w:style>
  <w:style w:type="paragraph" w:customStyle="1" w:styleId="AbstractText">
    <w:name w:val="AbstractText"/>
    <w:qFormat/>
    <w:pPr>
      <w:spacing w:after="80"/>
      <w:jc w:val="both"/>
    </w:pPr>
    <w:rPr>
      <w:rFonts w:asciiTheme="majorHAnsi" w:eastAsia="Times New Roman" w:hAnsiTheme="majorHAnsi" w:cs="Times New Roman"/>
      <w:lang w:val="en" w:eastAsia="en-US"/>
    </w:rPr>
  </w:style>
  <w:style w:type="paragraph" w:customStyle="1" w:styleId="Articlehistory">
    <w:name w:val="Articlehistory"/>
    <w:qFormat/>
    <w:pPr>
      <w:spacing w:line="200" w:lineRule="exact"/>
    </w:pPr>
    <w:rPr>
      <w:rFonts w:ascii="Adobe Devanagari" w:eastAsia="Times New Roman" w:hAnsi="Adobe Devanagari" w:cs="Times New Roman"/>
      <w:i/>
      <w:sz w:val="18"/>
      <w:lang w:val="en-US" w:eastAsia="en-US"/>
    </w:rPr>
  </w:style>
  <w:style w:type="paragraph" w:customStyle="1" w:styleId="Keyword">
    <w:name w:val="Keyword"/>
    <w:qFormat/>
    <w:pPr>
      <w:spacing w:line="200" w:lineRule="exact"/>
    </w:pPr>
    <w:rPr>
      <w:rFonts w:ascii="Adobe Devanagari" w:eastAsia="Times New Roman" w:hAnsi="Adobe Devanagari" w:cs="Times New Roman"/>
      <w:sz w:val="18"/>
      <w:lang w:val="en-US" w:eastAsia="en-US"/>
    </w:rPr>
  </w:style>
  <w:style w:type="table" w:customStyle="1" w:styleId="Mdeck5tablebodythreelines">
    <w:name w:val="M_deck_5_table_body_three_lines"/>
    <w:basedOn w:val="TableNormal"/>
    <w:uiPriority w:val="99"/>
    <w:qFormat/>
    <w:pPr>
      <w:adjustRightInd w:val="0"/>
      <w:snapToGrid w:val="0"/>
      <w:spacing w:line="300" w:lineRule="exact"/>
      <w:jc w:val="center"/>
    </w:pPr>
    <w:rPr>
      <w:rFonts w:ascii="Times New Roman" w:hAnsi="Times New Roman" w:cs="Times New Roman"/>
      <w:lang w:val="de-DE" w:eastAsia="de-DE"/>
    </w:rPr>
    <w:tblPr>
      <w:jc w:val="center"/>
      <w:tblBorders>
        <w:bottom w:val="single" w:sz="8" w:space="0" w:color="auto"/>
      </w:tblBorders>
    </w:tblPr>
    <w:trPr>
      <w:jc w:val="center"/>
    </w:trPr>
    <w:tblStylePr w:type="firstRow">
      <w:pPr>
        <w:snapToGrid w:val="0"/>
        <w:spacing w:beforeLines="0" w:beforeAutospacing="0" w:afterLines="0" w:afterAutospacing="0" w:line="300" w:lineRule="exact"/>
        <w:ind w:leftChars="0" w:left="0" w:rightChars="0" w:right="0" w:firstLineChars="0" w:firstLine="0"/>
        <w:jc w:val="center"/>
        <w:outlineLvl w:val="9"/>
      </w:pPr>
      <w:rPr>
        <w:rFonts w:ascii="Times New Roman" w:eastAsia="Times New Roman" w:hAnsi="Times New Roman" w:cs="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HD-3">
    <w:name w:val="HD-3"/>
    <w:basedOn w:val="Body"/>
    <w:qFormat/>
    <w:pPr>
      <w:numPr>
        <w:numId w:val="2"/>
      </w:numPr>
    </w:pPr>
    <w:rPr>
      <w:color w:val="000000" w:themeColor="text1"/>
    </w:rPr>
  </w:style>
  <w:style w:type="paragraph" w:customStyle="1" w:styleId="HD-4">
    <w:name w:val="HD-4"/>
    <w:basedOn w:val="Body"/>
    <w:qFormat/>
    <w:pPr>
      <w:numPr>
        <w:numId w:val="3"/>
      </w:numPr>
    </w:pPr>
    <w:rPr>
      <w:color w:val="000000" w:themeColor="text1"/>
    </w:rPr>
  </w:style>
  <w:style w:type="paragraph" w:customStyle="1" w:styleId="HD-5">
    <w:name w:val="HD-5"/>
    <w:basedOn w:val="Body"/>
    <w:qFormat/>
    <w:pPr>
      <w:numPr>
        <w:numId w:val="4"/>
      </w:numPr>
    </w:pPr>
  </w:style>
  <w:style w:type="paragraph" w:customStyle="1" w:styleId="HD-6">
    <w:name w:val="HD-6"/>
    <w:basedOn w:val="HD-5"/>
    <w:qFormat/>
    <w:pPr>
      <w:numPr>
        <w:numId w:val="5"/>
      </w:numPr>
    </w:p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FootnoteTextChar">
    <w:name w:val="Footnote Text Char"/>
    <w:basedOn w:val="DefaultParagraphFont"/>
    <w:link w:val="FootnoteText"/>
    <w:uiPriority w:val="99"/>
    <w:semiHidden/>
    <w:qFormat/>
    <w:rPr>
      <w:sz w:val="20"/>
      <w:szCs w:val="20"/>
    </w:rPr>
  </w:style>
  <w:style w:type="paragraph" w:styleId="NormalWeb">
    <w:name w:val="Normal (Web)"/>
    <w:basedOn w:val="Normal"/>
    <w:uiPriority w:val="99"/>
    <w:unhideWhenUsed/>
    <w:rsid w:val="005D4B3B"/>
    <w:pPr>
      <w:spacing w:before="100" w:beforeAutospacing="1" w:after="100" w:afterAutospacing="1"/>
    </w:pPr>
    <w:rPr>
      <w:rFonts w:ascii="Times New Roman" w:hAnsi="Times New Roman"/>
      <w:sz w:val="24"/>
      <w:szCs w:val="24"/>
    </w:rPr>
  </w:style>
  <w:style w:type="table" w:styleId="PlainTable2">
    <w:name w:val="Plain Table 2"/>
    <w:basedOn w:val="TableNormal"/>
    <w:uiPriority w:val="42"/>
    <w:rsid w:val="009B2A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7947DC"/>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rsid w:val="00B91EF5"/>
    <w:rPr>
      <w:rFonts w:asciiTheme="majorHAnsi" w:eastAsiaTheme="majorEastAsia" w:hAnsiTheme="majorHAnsi" w:cstheme="majorBidi"/>
      <w:i/>
      <w:iCs/>
      <w:color w:val="2F5496" w:themeColor="accent1" w:themeShade="BF"/>
      <w:lang w:val="en-US" w:eastAsia="en-US"/>
    </w:rPr>
  </w:style>
  <w:style w:type="character" w:styleId="UnresolvedMention">
    <w:name w:val="Unresolved Mention"/>
    <w:basedOn w:val="DefaultParagraphFont"/>
    <w:uiPriority w:val="99"/>
    <w:semiHidden/>
    <w:unhideWhenUsed/>
    <w:rsid w:val="00D4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6494">
      <w:bodyDiv w:val="1"/>
      <w:marLeft w:val="0"/>
      <w:marRight w:val="0"/>
      <w:marTop w:val="0"/>
      <w:marBottom w:val="0"/>
      <w:divBdr>
        <w:top w:val="none" w:sz="0" w:space="0" w:color="auto"/>
        <w:left w:val="none" w:sz="0" w:space="0" w:color="auto"/>
        <w:bottom w:val="none" w:sz="0" w:space="0" w:color="auto"/>
        <w:right w:val="none" w:sz="0" w:space="0" w:color="auto"/>
      </w:divBdr>
    </w:div>
    <w:div w:id="126316204">
      <w:bodyDiv w:val="1"/>
      <w:marLeft w:val="0"/>
      <w:marRight w:val="0"/>
      <w:marTop w:val="0"/>
      <w:marBottom w:val="0"/>
      <w:divBdr>
        <w:top w:val="none" w:sz="0" w:space="0" w:color="auto"/>
        <w:left w:val="none" w:sz="0" w:space="0" w:color="auto"/>
        <w:bottom w:val="none" w:sz="0" w:space="0" w:color="auto"/>
        <w:right w:val="none" w:sz="0" w:space="0" w:color="auto"/>
      </w:divBdr>
    </w:div>
    <w:div w:id="178082258">
      <w:bodyDiv w:val="1"/>
      <w:marLeft w:val="0"/>
      <w:marRight w:val="0"/>
      <w:marTop w:val="0"/>
      <w:marBottom w:val="0"/>
      <w:divBdr>
        <w:top w:val="none" w:sz="0" w:space="0" w:color="auto"/>
        <w:left w:val="none" w:sz="0" w:space="0" w:color="auto"/>
        <w:bottom w:val="none" w:sz="0" w:space="0" w:color="auto"/>
        <w:right w:val="none" w:sz="0" w:space="0" w:color="auto"/>
      </w:divBdr>
    </w:div>
    <w:div w:id="196091207">
      <w:bodyDiv w:val="1"/>
      <w:marLeft w:val="0"/>
      <w:marRight w:val="0"/>
      <w:marTop w:val="0"/>
      <w:marBottom w:val="0"/>
      <w:divBdr>
        <w:top w:val="none" w:sz="0" w:space="0" w:color="auto"/>
        <w:left w:val="none" w:sz="0" w:space="0" w:color="auto"/>
        <w:bottom w:val="none" w:sz="0" w:space="0" w:color="auto"/>
        <w:right w:val="none" w:sz="0" w:space="0" w:color="auto"/>
      </w:divBdr>
    </w:div>
    <w:div w:id="628777828">
      <w:bodyDiv w:val="1"/>
      <w:marLeft w:val="0"/>
      <w:marRight w:val="0"/>
      <w:marTop w:val="0"/>
      <w:marBottom w:val="0"/>
      <w:divBdr>
        <w:top w:val="none" w:sz="0" w:space="0" w:color="auto"/>
        <w:left w:val="none" w:sz="0" w:space="0" w:color="auto"/>
        <w:bottom w:val="none" w:sz="0" w:space="0" w:color="auto"/>
        <w:right w:val="none" w:sz="0" w:space="0" w:color="auto"/>
      </w:divBdr>
    </w:div>
    <w:div w:id="692851992">
      <w:bodyDiv w:val="1"/>
      <w:marLeft w:val="0"/>
      <w:marRight w:val="0"/>
      <w:marTop w:val="0"/>
      <w:marBottom w:val="0"/>
      <w:divBdr>
        <w:top w:val="none" w:sz="0" w:space="0" w:color="auto"/>
        <w:left w:val="none" w:sz="0" w:space="0" w:color="auto"/>
        <w:bottom w:val="none" w:sz="0" w:space="0" w:color="auto"/>
        <w:right w:val="none" w:sz="0" w:space="0" w:color="auto"/>
      </w:divBdr>
    </w:div>
    <w:div w:id="693114929">
      <w:bodyDiv w:val="1"/>
      <w:marLeft w:val="0"/>
      <w:marRight w:val="0"/>
      <w:marTop w:val="0"/>
      <w:marBottom w:val="0"/>
      <w:divBdr>
        <w:top w:val="none" w:sz="0" w:space="0" w:color="auto"/>
        <w:left w:val="none" w:sz="0" w:space="0" w:color="auto"/>
        <w:bottom w:val="none" w:sz="0" w:space="0" w:color="auto"/>
        <w:right w:val="none" w:sz="0" w:space="0" w:color="auto"/>
      </w:divBdr>
    </w:div>
    <w:div w:id="693651737">
      <w:bodyDiv w:val="1"/>
      <w:marLeft w:val="0"/>
      <w:marRight w:val="0"/>
      <w:marTop w:val="0"/>
      <w:marBottom w:val="0"/>
      <w:divBdr>
        <w:top w:val="none" w:sz="0" w:space="0" w:color="auto"/>
        <w:left w:val="none" w:sz="0" w:space="0" w:color="auto"/>
        <w:bottom w:val="none" w:sz="0" w:space="0" w:color="auto"/>
        <w:right w:val="none" w:sz="0" w:space="0" w:color="auto"/>
      </w:divBdr>
    </w:div>
    <w:div w:id="695469865">
      <w:bodyDiv w:val="1"/>
      <w:marLeft w:val="0"/>
      <w:marRight w:val="0"/>
      <w:marTop w:val="0"/>
      <w:marBottom w:val="0"/>
      <w:divBdr>
        <w:top w:val="none" w:sz="0" w:space="0" w:color="auto"/>
        <w:left w:val="none" w:sz="0" w:space="0" w:color="auto"/>
        <w:bottom w:val="none" w:sz="0" w:space="0" w:color="auto"/>
        <w:right w:val="none" w:sz="0" w:space="0" w:color="auto"/>
      </w:divBdr>
    </w:div>
    <w:div w:id="967130773">
      <w:bodyDiv w:val="1"/>
      <w:marLeft w:val="0"/>
      <w:marRight w:val="0"/>
      <w:marTop w:val="0"/>
      <w:marBottom w:val="0"/>
      <w:divBdr>
        <w:top w:val="none" w:sz="0" w:space="0" w:color="auto"/>
        <w:left w:val="none" w:sz="0" w:space="0" w:color="auto"/>
        <w:bottom w:val="none" w:sz="0" w:space="0" w:color="auto"/>
        <w:right w:val="none" w:sz="0" w:space="0" w:color="auto"/>
      </w:divBdr>
    </w:div>
    <w:div w:id="1165707059">
      <w:bodyDiv w:val="1"/>
      <w:marLeft w:val="0"/>
      <w:marRight w:val="0"/>
      <w:marTop w:val="0"/>
      <w:marBottom w:val="0"/>
      <w:divBdr>
        <w:top w:val="none" w:sz="0" w:space="0" w:color="auto"/>
        <w:left w:val="none" w:sz="0" w:space="0" w:color="auto"/>
        <w:bottom w:val="none" w:sz="0" w:space="0" w:color="auto"/>
        <w:right w:val="none" w:sz="0" w:space="0" w:color="auto"/>
      </w:divBdr>
    </w:div>
    <w:div w:id="1339430303">
      <w:bodyDiv w:val="1"/>
      <w:marLeft w:val="0"/>
      <w:marRight w:val="0"/>
      <w:marTop w:val="0"/>
      <w:marBottom w:val="0"/>
      <w:divBdr>
        <w:top w:val="none" w:sz="0" w:space="0" w:color="auto"/>
        <w:left w:val="none" w:sz="0" w:space="0" w:color="auto"/>
        <w:bottom w:val="none" w:sz="0" w:space="0" w:color="auto"/>
        <w:right w:val="none" w:sz="0" w:space="0" w:color="auto"/>
      </w:divBdr>
    </w:div>
    <w:div w:id="1561404953">
      <w:bodyDiv w:val="1"/>
      <w:marLeft w:val="0"/>
      <w:marRight w:val="0"/>
      <w:marTop w:val="0"/>
      <w:marBottom w:val="0"/>
      <w:divBdr>
        <w:top w:val="none" w:sz="0" w:space="0" w:color="auto"/>
        <w:left w:val="none" w:sz="0" w:space="0" w:color="auto"/>
        <w:bottom w:val="none" w:sz="0" w:space="0" w:color="auto"/>
        <w:right w:val="none" w:sz="0" w:space="0" w:color="auto"/>
      </w:divBdr>
    </w:div>
    <w:div w:id="1597517733">
      <w:bodyDiv w:val="1"/>
      <w:marLeft w:val="0"/>
      <w:marRight w:val="0"/>
      <w:marTop w:val="0"/>
      <w:marBottom w:val="0"/>
      <w:divBdr>
        <w:top w:val="none" w:sz="0" w:space="0" w:color="auto"/>
        <w:left w:val="none" w:sz="0" w:space="0" w:color="auto"/>
        <w:bottom w:val="none" w:sz="0" w:space="0" w:color="auto"/>
        <w:right w:val="none" w:sz="0" w:space="0" w:color="auto"/>
      </w:divBdr>
    </w:div>
    <w:div w:id="1624387022">
      <w:bodyDiv w:val="1"/>
      <w:marLeft w:val="0"/>
      <w:marRight w:val="0"/>
      <w:marTop w:val="0"/>
      <w:marBottom w:val="0"/>
      <w:divBdr>
        <w:top w:val="none" w:sz="0" w:space="0" w:color="auto"/>
        <w:left w:val="none" w:sz="0" w:space="0" w:color="auto"/>
        <w:bottom w:val="none" w:sz="0" w:space="0" w:color="auto"/>
        <w:right w:val="none" w:sz="0" w:space="0" w:color="auto"/>
      </w:divBdr>
    </w:div>
    <w:div w:id="1747722553">
      <w:bodyDiv w:val="1"/>
      <w:marLeft w:val="0"/>
      <w:marRight w:val="0"/>
      <w:marTop w:val="0"/>
      <w:marBottom w:val="0"/>
      <w:divBdr>
        <w:top w:val="none" w:sz="0" w:space="0" w:color="auto"/>
        <w:left w:val="none" w:sz="0" w:space="0" w:color="auto"/>
        <w:bottom w:val="none" w:sz="0" w:space="0" w:color="auto"/>
        <w:right w:val="none" w:sz="0" w:space="0" w:color="auto"/>
      </w:divBdr>
    </w:div>
    <w:div w:id="2012295734">
      <w:bodyDiv w:val="1"/>
      <w:marLeft w:val="0"/>
      <w:marRight w:val="0"/>
      <w:marTop w:val="0"/>
      <w:marBottom w:val="0"/>
      <w:divBdr>
        <w:top w:val="none" w:sz="0" w:space="0" w:color="auto"/>
        <w:left w:val="none" w:sz="0" w:space="0" w:color="auto"/>
        <w:bottom w:val="none" w:sz="0" w:space="0" w:color="auto"/>
        <w:right w:val="none" w:sz="0" w:space="0" w:color="auto"/>
      </w:divBdr>
    </w:div>
    <w:div w:id="2062362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creativecommons.org/licenses/by-sa/4.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ariza.hasyim@uin-suska.ac.id" TargetMode="External"/><Relationship Id="rId5" Type="http://schemas.openxmlformats.org/officeDocument/2006/relationships/settings" Target="settings.xml"/><Relationship Id="rId15" Type="http://schemas.openxmlformats.org/officeDocument/2006/relationships/hyperlink" Target="http://creativecommons.org/licenses/by-sa/4.0/" TargetMode="External"/><Relationship Id="rId23" Type="http://schemas.openxmlformats.org/officeDocument/2006/relationships/theme" Target="theme/theme1.xml"/><Relationship Id="rId10" Type="http://schemas.openxmlformats.org/officeDocument/2006/relationships/hyperlink" Target="mailto:helmiati@uin-suska.ac.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22490114364@students.uin-suska.ac.id" TargetMode="External"/><Relationship Id="rId14" Type="http://schemas.openxmlformats.org/officeDocument/2006/relationships/image" Target="https://licensebuttons.net/l/by-sa/3.0/88x31.png"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mailto:jurnal-atturots@stitmadani.ac.id"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issn.lipi.go.id/terbit/detail/1604472347"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issn.lipi.go.id/terbit/detail/1604472347"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uad.ac.id/id/" TargetMode="External"/><Relationship Id="rId7" Type="http://schemas.openxmlformats.org/officeDocument/2006/relationships/hyperlink" Target="%20%20http:/journal.stitmadani.ac.id/index.php/JPI/index" TargetMode="External"/><Relationship Id="rId2" Type="http://schemas.openxmlformats.org/officeDocument/2006/relationships/image" Target="media/image2.jpeg"/><Relationship Id="rId1" Type="http://schemas.openxmlformats.org/officeDocument/2006/relationships/hyperlink" Target="http://journal.stitmadani.ac.id/index.php/JPI" TargetMode="External"/><Relationship Id="rId6" Type="http://schemas.openxmlformats.org/officeDocument/2006/relationships/hyperlink" Target="https://issn.lipi.go.id/terbit/detail/1604472347" TargetMode="External"/><Relationship Id="rId5" Type="http://schemas.openxmlformats.org/officeDocument/2006/relationships/hyperlink" Target="https://issn.lipi.go.id/terbit/detail/1554013743"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233E0F-C3F3-401F-A34B-8805BFDDF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7152</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Author</cp:lastModifiedBy>
  <cp:revision>2</cp:revision>
  <cp:lastPrinted>2023-03-01T07:41:00Z</cp:lastPrinted>
  <dcterms:created xsi:type="dcterms:W3CDTF">2026-02-15T03:15:00Z</dcterms:created>
  <dcterms:modified xsi:type="dcterms:W3CDTF">2026-02-15T03:15:00Z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8e43b491-d568-3f6e-b704-58efe613d219</vt:lpwstr>
  </property>
  <property fmtid="{D5CDD505-2E9C-101B-9397-08002B2CF9AE}" pid="24" name="Mendeley Citation Style_1">
    <vt:lpwstr>http://www.zotero.org/styles/apa</vt:lpwstr>
  </property>
  <property fmtid="{D5CDD505-2E9C-101B-9397-08002B2CF9AE}" pid="25" name="KSOProductBuildVer">
    <vt:lpwstr>1033-12.2.0.13431</vt:lpwstr>
  </property>
  <property fmtid="{D5CDD505-2E9C-101B-9397-08002B2CF9AE}" pid="26" name="ICV">
    <vt:lpwstr>978F01878FBA4EFA8A9A56FBBB8E3437_12</vt:lpwstr>
  </property>
  <property fmtid="{D5CDD505-2E9C-101B-9397-08002B2CF9AE}" pid="27" name="MSIP_Label_defa4170-0d19-0005-0004-bc88714345d2_Enabled">
    <vt:lpwstr>true</vt:lpwstr>
  </property>
  <property fmtid="{D5CDD505-2E9C-101B-9397-08002B2CF9AE}" pid="28" name="MSIP_Label_defa4170-0d19-0005-0004-bc88714345d2_SetDate">
    <vt:lpwstr>2024-06-11T15:24:12Z</vt:lpwstr>
  </property>
  <property fmtid="{D5CDD505-2E9C-101B-9397-08002B2CF9AE}" pid="29" name="MSIP_Label_defa4170-0d19-0005-0004-bc88714345d2_Method">
    <vt:lpwstr>Standard</vt:lpwstr>
  </property>
  <property fmtid="{D5CDD505-2E9C-101B-9397-08002B2CF9AE}" pid="30" name="MSIP_Label_defa4170-0d19-0005-0004-bc88714345d2_Name">
    <vt:lpwstr>defa4170-0d19-0005-0004-bc88714345d2</vt:lpwstr>
  </property>
  <property fmtid="{D5CDD505-2E9C-101B-9397-08002B2CF9AE}" pid="31" name="MSIP_Label_defa4170-0d19-0005-0004-bc88714345d2_SiteId">
    <vt:lpwstr>0dd7aa15-699c-42af-9dcc-a2a44a9d120f</vt:lpwstr>
  </property>
  <property fmtid="{D5CDD505-2E9C-101B-9397-08002B2CF9AE}" pid="32" name="MSIP_Label_defa4170-0d19-0005-0004-bc88714345d2_ActionId">
    <vt:lpwstr>3f5cd0de-4c39-4982-a931-d58461b60141</vt:lpwstr>
  </property>
  <property fmtid="{D5CDD505-2E9C-101B-9397-08002B2CF9AE}" pid="33" name="MSIP_Label_defa4170-0d19-0005-0004-bc88714345d2_ContentBits">
    <vt:lpwstr>0</vt:lpwstr>
  </property>
</Properties>
</file>